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BE734" w14:textId="77777777" w:rsidR="002541C6" w:rsidRDefault="002541C6" w:rsidP="002541C6">
      <w:pPr>
        <w:spacing w:line="440" w:lineRule="exact"/>
        <w:rPr>
          <w:rFonts w:ascii="宋体" w:eastAsia="宋体" w:hAnsi="宋体" w:cs="宋体"/>
          <w:b/>
          <w:sz w:val="24"/>
          <w:szCs w:val="24"/>
        </w:rPr>
      </w:pPr>
      <w:r>
        <w:rPr>
          <w:rFonts w:ascii="宋体" w:eastAsia="宋体" w:hAnsi="宋体" w:cs="宋体" w:hint="eastAsia"/>
          <w:b/>
          <w:sz w:val="24"/>
          <w:szCs w:val="24"/>
        </w:rPr>
        <w:t>附件</w:t>
      </w:r>
      <w:r>
        <w:rPr>
          <w:rFonts w:ascii="宋体" w:eastAsia="宋体" w:hAnsi="宋体" w:cs="宋体"/>
          <w:b/>
          <w:sz w:val="24"/>
          <w:szCs w:val="24"/>
        </w:rPr>
        <w:t>1：2020年</w:t>
      </w:r>
      <w:r>
        <w:rPr>
          <w:rFonts w:ascii="宋体" w:eastAsia="宋体" w:hAnsi="宋体" w:cs="宋体" w:hint="eastAsia"/>
          <w:b/>
          <w:sz w:val="24"/>
          <w:szCs w:val="24"/>
        </w:rPr>
        <w:t>长丰县</w:t>
      </w:r>
      <w:r>
        <w:rPr>
          <w:rFonts w:ascii="宋体" w:eastAsia="宋体" w:hAnsi="宋体" w:cs="宋体"/>
          <w:b/>
          <w:sz w:val="24"/>
          <w:szCs w:val="24"/>
        </w:rPr>
        <w:t>引导资金项目技术需求</w:t>
      </w:r>
      <w:r>
        <w:rPr>
          <w:rFonts w:ascii="宋体" w:eastAsia="宋体" w:hAnsi="宋体" w:cs="宋体" w:hint="eastAsia"/>
          <w:b/>
          <w:sz w:val="24"/>
          <w:szCs w:val="24"/>
        </w:rPr>
        <w:t>汇总表</w:t>
      </w:r>
    </w:p>
    <w:tbl>
      <w:tblPr>
        <w:tblStyle w:val="a3"/>
        <w:tblW w:w="5000" w:type="pct"/>
        <w:jc w:val="center"/>
        <w:tblLayout w:type="fixed"/>
        <w:tblLook w:val="04A0" w:firstRow="1" w:lastRow="0" w:firstColumn="1" w:lastColumn="0" w:noHBand="0" w:noVBand="1"/>
      </w:tblPr>
      <w:tblGrid>
        <w:gridCol w:w="695"/>
        <w:gridCol w:w="1618"/>
        <w:gridCol w:w="5983"/>
      </w:tblGrid>
      <w:tr w:rsidR="002541C6" w14:paraId="78A532D0" w14:textId="77777777" w:rsidTr="00E87818">
        <w:trPr>
          <w:jc w:val="center"/>
        </w:trPr>
        <w:tc>
          <w:tcPr>
            <w:tcW w:w="817" w:type="dxa"/>
            <w:vAlign w:val="center"/>
          </w:tcPr>
          <w:p w14:paraId="16818129" w14:textId="77777777" w:rsidR="002541C6" w:rsidRDefault="002541C6" w:rsidP="00E87818">
            <w:pPr>
              <w:jc w:val="center"/>
              <w:rPr>
                <w:rFonts w:ascii="宋体" w:hAnsi="宋体"/>
                <w:sz w:val="24"/>
                <w:szCs w:val="24"/>
              </w:rPr>
            </w:pPr>
            <w:r>
              <w:rPr>
                <w:rFonts w:ascii="宋体" w:hAnsi="宋体" w:hint="eastAsia"/>
                <w:sz w:val="24"/>
                <w:szCs w:val="24"/>
              </w:rPr>
              <w:t>编号</w:t>
            </w:r>
          </w:p>
        </w:tc>
        <w:tc>
          <w:tcPr>
            <w:tcW w:w="1985" w:type="dxa"/>
            <w:vAlign w:val="center"/>
          </w:tcPr>
          <w:p w14:paraId="0144B3C3" w14:textId="77777777" w:rsidR="002541C6" w:rsidRDefault="002541C6" w:rsidP="00E87818">
            <w:pPr>
              <w:jc w:val="center"/>
              <w:rPr>
                <w:rFonts w:ascii="宋体" w:hAnsi="宋体"/>
                <w:sz w:val="24"/>
                <w:szCs w:val="24"/>
              </w:rPr>
            </w:pPr>
            <w:r>
              <w:rPr>
                <w:rFonts w:ascii="宋体" w:hAnsi="宋体" w:hint="eastAsia"/>
                <w:sz w:val="24"/>
                <w:szCs w:val="24"/>
              </w:rPr>
              <w:t>需求名称</w:t>
            </w:r>
          </w:p>
        </w:tc>
        <w:tc>
          <w:tcPr>
            <w:tcW w:w="7512" w:type="dxa"/>
            <w:vAlign w:val="center"/>
          </w:tcPr>
          <w:p w14:paraId="43B101F7" w14:textId="77777777" w:rsidR="002541C6" w:rsidRDefault="002541C6" w:rsidP="00E87818">
            <w:pPr>
              <w:jc w:val="center"/>
              <w:rPr>
                <w:rFonts w:ascii="宋体" w:hAnsi="宋体"/>
                <w:sz w:val="24"/>
                <w:szCs w:val="24"/>
              </w:rPr>
            </w:pPr>
            <w:r>
              <w:rPr>
                <w:rFonts w:ascii="宋体" w:hAnsi="宋体" w:hint="eastAsia"/>
                <w:sz w:val="24"/>
                <w:szCs w:val="24"/>
              </w:rPr>
              <w:t>需求内容</w:t>
            </w:r>
          </w:p>
        </w:tc>
      </w:tr>
      <w:tr w:rsidR="002541C6" w14:paraId="4DD495FA" w14:textId="77777777" w:rsidTr="00E87818">
        <w:trPr>
          <w:jc w:val="center"/>
        </w:trPr>
        <w:tc>
          <w:tcPr>
            <w:tcW w:w="817" w:type="dxa"/>
            <w:vAlign w:val="center"/>
          </w:tcPr>
          <w:p w14:paraId="749B4D98" w14:textId="77777777" w:rsidR="002541C6" w:rsidRDefault="002541C6" w:rsidP="00E87818">
            <w:pPr>
              <w:jc w:val="center"/>
              <w:rPr>
                <w:rFonts w:ascii="宋体" w:hAnsi="宋体"/>
                <w:sz w:val="24"/>
                <w:szCs w:val="24"/>
              </w:rPr>
            </w:pPr>
            <w:r>
              <w:rPr>
                <w:rFonts w:ascii="宋体" w:hAnsi="宋体" w:hint="eastAsia"/>
                <w:sz w:val="24"/>
                <w:szCs w:val="24"/>
              </w:rPr>
              <w:t>001</w:t>
            </w:r>
          </w:p>
        </w:tc>
        <w:tc>
          <w:tcPr>
            <w:tcW w:w="1985" w:type="dxa"/>
            <w:vAlign w:val="center"/>
          </w:tcPr>
          <w:p w14:paraId="04FCC020" w14:textId="77777777" w:rsidR="002541C6" w:rsidRDefault="002541C6" w:rsidP="00E87818">
            <w:pPr>
              <w:rPr>
                <w:rFonts w:ascii="宋体" w:hAnsi="宋体"/>
                <w:sz w:val="24"/>
                <w:szCs w:val="24"/>
              </w:rPr>
            </w:pPr>
            <w:r>
              <w:rPr>
                <w:rFonts w:ascii="宋体" w:hAnsi="宋体" w:hint="eastAsia"/>
                <w:sz w:val="24"/>
                <w:szCs w:val="24"/>
              </w:rPr>
              <w:t>超精密微型钢球制备工艺研发</w:t>
            </w:r>
          </w:p>
        </w:tc>
        <w:tc>
          <w:tcPr>
            <w:tcW w:w="7512" w:type="dxa"/>
            <w:vAlign w:val="center"/>
          </w:tcPr>
          <w:p w14:paraId="6F63417F" w14:textId="77777777" w:rsidR="002541C6" w:rsidRDefault="002541C6" w:rsidP="00E87818">
            <w:pPr>
              <w:rPr>
                <w:rFonts w:ascii="宋体" w:hAnsi="宋体"/>
                <w:sz w:val="24"/>
                <w:szCs w:val="24"/>
              </w:rPr>
            </w:pPr>
            <w:r>
              <w:rPr>
                <w:rFonts w:ascii="宋体" w:hAnsi="宋体" w:hint="eastAsia"/>
                <w:sz w:val="24"/>
                <w:szCs w:val="24"/>
              </w:rPr>
              <w:t>开展可替代进口的“超精密微型钢球核心技术的研发与产业化”研发。目前，在微型钢球（直径小于1</w:t>
            </w:r>
            <w:r>
              <w:rPr>
                <w:rFonts w:ascii="宋体" w:hAnsi="宋体"/>
                <w:sz w:val="24"/>
                <w:szCs w:val="24"/>
              </w:rPr>
              <w:t>mm</w:t>
            </w:r>
            <w:r>
              <w:rPr>
                <w:rFonts w:ascii="宋体" w:hAnsi="宋体" w:hint="eastAsia"/>
                <w:sz w:val="24"/>
                <w:szCs w:val="24"/>
              </w:rPr>
              <w:t>）的加工过程中，生产效率低且制品合格率较低。如何利用数值分析和物理实验等手段，优化生产工艺流程，提高微型钢球的光洁度、圆度及显微组织均匀性，获得高效稳定的全流程制备工艺方案。若通过该项目能在可替代进口的超精密微型钢球领域取得实质性的突破，将可在钢球行业微型钢球领域的国家标准制定有话语权，同时也可申请省部级实验室。</w:t>
            </w:r>
          </w:p>
        </w:tc>
      </w:tr>
      <w:tr w:rsidR="002541C6" w14:paraId="7CB1D93E" w14:textId="77777777" w:rsidTr="00E87818">
        <w:trPr>
          <w:jc w:val="center"/>
        </w:trPr>
        <w:tc>
          <w:tcPr>
            <w:tcW w:w="817" w:type="dxa"/>
            <w:vAlign w:val="center"/>
          </w:tcPr>
          <w:p w14:paraId="6F8A86F0" w14:textId="77777777" w:rsidR="002541C6" w:rsidRDefault="002541C6" w:rsidP="00E87818">
            <w:pPr>
              <w:jc w:val="center"/>
              <w:rPr>
                <w:rFonts w:ascii="宋体" w:hAnsi="宋体"/>
                <w:sz w:val="24"/>
                <w:szCs w:val="24"/>
              </w:rPr>
            </w:pPr>
            <w:r>
              <w:rPr>
                <w:rFonts w:ascii="宋体" w:hAnsi="宋体" w:hint="eastAsia"/>
                <w:sz w:val="24"/>
                <w:szCs w:val="24"/>
              </w:rPr>
              <w:t>00</w:t>
            </w:r>
            <w:r>
              <w:rPr>
                <w:rFonts w:ascii="宋体" w:hAnsi="宋体"/>
                <w:sz w:val="24"/>
                <w:szCs w:val="24"/>
              </w:rPr>
              <w:t>2</w:t>
            </w:r>
          </w:p>
        </w:tc>
        <w:tc>
          <w:tcPr>
            <w:tcW w:w="1985" w:type="dxa"/>
            <w:vAlign w:val="center"/>
          </w:tcPr>
          <w:p w14:paraId="30678D57" w14:textId="77777777" w:rsidR="002541C6" w:rsidRDefault="002541C6" w:rsidP="00E87818">
            <w:pPr>
              <w:rPr>
                <w:rFonts w:ascii="宋体" w:hAnsi="宋体"/>
                <w:sz w:val="24"/>
                <w:szCs w:val="24"/>
              </w:rPr>
            </w:pPr>
            <w:r>
              <w:rPr>
                <w:rFonts w:ascii="宋体" w:hAnsi="宋体" w:hint="eastAsia"/>
                <w:sz w:val="24"/>
                <w:szCs w:val="24"/>
              </w:rPr>
              <w:t>吸波新材料和高导热模组制备</w:t>
            </w:r>
          </w:p>
        </w:tc>
        <w:tc>
          <w:tcPr>
            <w:tcW w:w="7512" w:type="dxa"/>
            <w:vAlign w:val="center"/>
          </w:tcPr>
          <w:p w14:paraId="0FA608AB" w14:textId="77777777" w:rsidR="002541C6" w:rsidRDefault="002541C6" w:rsidP="00E87818">
            <w:pPr>
              <w:rPr>
                <w:rFonts w:ascii="宋体" w:hAnsi="宋体"/>
                <w:sz w:val="24"/>
                <w:szCs w:val="24"/>
              </w:rPr>
            </w:pPr>
            <w:r>
              <w:rPr>
                <w:rFonts w:ascii="宋体" w:hAnsi="宋体" w:hint="eastAsia"/>
                <w:sz w:val="24"/>
                <w:szCs w:val="24"/>
              </w:rPr>
              <w:t>1. 通过对吸收剂结构优化和改性，使得吸波蜂窝/石墨</w:t>
            </w:r>
            <w:proofErr w:type="gramStart"/>
            <w:r>
              <w:rPr>
                <w:rFonts w:ascii="宋体" w:hAnsi="宋体" w:hint="eastAsia"/>
                <w:sz w:val="24"/>
                <w:szCs w:val="24"/>
              </w:rPr>
              <w:t>烯</w:t>
            </w:r>
            <w:proofErr w:type="gramEnd"/>
            <w:r>
              <w:rPr>
                <w:rFonts w:ascii="宋体" w:hAnsi="宋体" w:hint="eastAsia"/>
                <w:sz w:val="24"/>
                <w:szCs w:val="24"/>
              </w:rPr>
              <w:t>结构具有机械承载、吸波、散热等多重功能，实现吸波散热结构功能一体化。</w:t>
            </w:r>
          </w:p>
          <w:p w14:paraId="6FA7353A" w14:textId="77777777" w:rsidR="002541C6" w:rsidRDefault="002541C6" w:rsidP="00E87818">
            <w:pPr>
              <w:rPr>
                <w:rFonts w:ascii="宋体" w:hAnsi="宋体"/>
                <w:sz w:val="24"/>
                <w:szCs w:val="24"/>
              </w:rPr>
            </w:pPr>
            <w:r>
              <w:rPr>
                <w:rFonts w:ascii="宋体" w:hAnsi="宋体"/>
                <w:sz w:val="24"/>
                <w:szCs w:val="24"/>
              </w:rPr>
              <w:t>2.</w:t>
            </w:r>
            <w:r>
              <w:rPr>
                <w:rFonts w:ascii="宋体" w:hAnsi="宋体" w:hint="eastAsia"/>
                <w:sz w:val="24"/>
                <w:szCs w:val="24"/>
              </w:rPr>
              <w:t xml:space="preserve"> 面向5G尖端装备和通信要求，构筑高导热模</w:t>
            </w:r>
            <w:proofErr w:type="gramStart"/>
            <w:r>
              <w:rPr>
                <w:rFonts w:ascii="宋体" w:hAnsi="宋体" w:hint="eastAsia"/>
                <w:sz w:val="24"/>
                <w:szCs w:val="24"/>
              </w:rPr>
              <w:t>组保障</w:t>
            </w:r>
            <w:proofErr w:type="gramEnd"/>
            <w:r>
              <w:rPr>
                <w:rFonts w:ascii="宋体" w:hAnsi="宋体" w:hint="eastAsia"/>
                <w:sz w:val="24"/>
                <w:szCs w:val="24"/>
              </w:rPr>
              <w:t>大功率元器件兼具抗电磁干扰和传导散热功能，并能在低温、恒温下稳定服役。</w:t>
            </w:r>
          </w:p>
        </w:tc>
      </w:tr>
      <w:tr w:rsidR="002541C6" w14:paraId="4D8F00B2" w14:textId="77777777" w:rsidTr="00E87818">
        <w:trPr>
          <w:jc w:val="center"/>
        </w:trPr>
        <w:tc>
          <w:tcPr>
            <w:tcW w:w="817" w:type="dxa"/>
            <w:vAlign w:val="center"/>
          </w:tcPr>
          <w:p w14:paraId="4DE8245F" w14:textId="77777777" w:rsidR="002541C6" w:rsidRDefault="002541C6" w:rsidP="00E87818">
            <w:pPr>
              <w:jc w:val="center"/>
              <w:rPr>
                <w:rFonts w:ascii="宋体" w:hAnsi="宋体"/>
                <w:sz w:val="24"/>
                <w:szCs w:val="24"/>
              </w:rPr>
            </w:pPr>
            <w:r>
              <w:rPr>
                <w:rFonts w:ascii="宋体" w:hAnsi="宋体" w:hint="eastAsia"/>
                <w:sz w:val="24"/>
                <w:szCs w:val="24"/>
              </w:rPr>
              <w:t>003</w:t>
            </w:r>
          </w:p>
        </w:tc>
        <w:tc>
          <w:tcPr>
            <w:tcW w:w="1985" w:type="dxa"/>
            <w:vAlign w:val="center"/>
          </w:tcPr>
          <w:p w14:paraId="5DC82C4C" w14:textId="77777777" w:rsidR="002541C6" w:rsidRDefault="002541C6" w:rsidP="00E87818">
            <w:pPr>
              <w:rPr>
                <w:rFonts w:ascii="宋体" w:hAnsi="宋体"/>
                <w:sz w:val="24"/>
                <w:szCs w:val="24"/>
              </w:rPr>
            </w:pPr>
            <w:r>
              <w:rPr>
                <w:rFonts w:ascii="宋体" w:hAnsi="宋体" w:hint="eastAsia"/>
                <w:sz w:val="24"/>
                <w:szCs w:val="24"/>
              </w:rPr>
              <w:t>架空线路振动舞动仿真系统</w:t>
            </w:r>
          </w:p>
        </w:tc>
        <w:tc>
          <w:tcPr>
            <w:tcW w:w="7512" w:type="dxa"/>
            <w:vAlign w:val="center"/>
          </w:tcPr>
          <w:p w14:paraId="63584D01" w14:textId="77777777" w:rsidR="002541C6" w:rsidRDefault="002541C6" w:rsidP="00E87818">
            <w:pPr>
              <w:rPr>
                <w:rFonts w:ascii="宋体" w:hAnsi="宋体"/>
                <w:sz w:val="24"/>
                <w:szCs w:val="24"/>
              </w:rPr>
            </w:pPr>
            <w:r>
              <w:rPr>
                <w:rFonts w:ascii="宋体" w:hAnsi="宋体" w:hint="eastAsia"/>
                <w:sz w:val="24"/>
                <w:szCs w:val="24"/>
              </w:rPr>
              <w:t>架空输电线路舞动灾害是目前我国电网运行中面临的主要灾害之一，严重情况下会导致电网设施毁坏，产生巨大经济损失。</w:t>
            </w:r>
            <w:proofErr w:type="gramStart"/>
            <w:r>
              <w:rPr>
                <w:rFonts w:ascii="宋体" w:hAnsi="宋体"/>
                <w:sz w:val="24"/>
                <w:szCs w:val="24"/>
              </w:rPr>
              <w:t>拟研究</w:t>
            </w:r>
            <w:proofErr w:type="gramEnd"/>
            <w:r>
              <w:rPr>
                <w:rFonts w:ascii="宋体" w:hAnsi="宋体"/>
                <w:sz w:val="24"/>
                <w:szCs w:val="24"/>
              </w:rPr>
              <w:t>架空输电导线舞动力学模型，通过动力学分析及计算机模拟仿真技术，开发输电线路舞动仿真系统，输入的架空线路特征参数和环境参数，实现架空线路的振动和舞动模拟，并提供防舞动装置配置优化方案。</w:t>
            </w:r>
          </w:p>
        </w:tc>
      </w:tr>
      <w:tr w:rsidR="002541C6" w14:paraId="2FA5E60E" w14:textId="77777777" w:rsidTr="00E87818">
        <w:trPr>
          <w:jc w:val="center"/>
        </w:trPr>
        <w:tc>
          <w:tcPr>
            <w:tcW w:w="817" w:type="dxa"/>
            <w:vAlign w:val="center"/>
          </w:tcPr>
          <w:p w14:paraId="021A84A2" w14:textId="77777777" w:rsidR="002541C6" w:rsidRDefault="002541C6" w:rsidP="00E87818">
            <w:pPr>
              <w:jc w:val="center"/>
              <w:rPr>
                <w:rFonts w:ascii="宋体" w:hAnsi="宋体"/>
                <w:sz w:val="24"/>
                <w:szCs w:val="24"/>
              </w:rPr>
            </w:pPr>
            <w:r>
              <w:rPr>
                <w:rFonts w:ascii="宋体" w:hAnsi="宋体" w:hint="eastAsia"/>
                <w:sz w:val="24"/>
                <w:szCs w:val="24"/>
              </w:rPr>
              <w:t>0</w:t>
            </w:r>
            <w:r>
              <w:rPr>
                <w:rFonts w:ascii="宋体" w:hAnsi="宋体"/>
                <w:sz w:val="24"/>
                <w:szCs w:val="24"/>
              </w:rPr>
              <w:t>04</w:t>
            </w:r>
          </w:p>
        </w:tc>
        <w:tc>
          <w:tcPr>
            <w:tcW w:w="1985" w:type="dxa"/>
            <w:vAlign w:val="center"/>
          </w:tcPr>
          <w:p w14:paraId="4E5EF7C5" w14:textId="77777777" w:rsidR="002541C6" w:rsidRDefault="002541C6" w:rsidP="00E87818">
            <w:pPr>
              <w:rPr>
                <w:rFonts w:ascii="宋体" w:hAnsi="宋体"/>
                <w:sz w:val="24"/>
                <w:szCs w:val="24"/>
              </w:rPr>
            </w:pPr>
            <w:r>
              <w:rPr>
                <w:rFonts w:ascii="宋体" w:hAnsi="宋体" w:hint="eastAsia"/>
                <w:sz w:val="24"/>
                <w:szCs w:val="24"/>
              </w:rPr>
              <w:t>用于大流量潜水泵的水润滑轴承研发</w:t>
            </w:r>
          </w:p>
        </w:tc>
        <w:tc>
          <w:tcPr>
            <w:tcW w:w="7512" w:type="dxa"/>
            <w:vAlign w:val="center"/>
          </w:tcPr>
          <w:p w14:paraId="2C540DE5" w14:textId="77777777" w:rsidR="002541C6" w:rsidRDefault="002541C6" w:rsidP="00E87818">
            <w:pPr>
              <w:rPr>
                <w:rFonts w:ascii="宋体" w:hAnsi="宋体"/>
                <w:sz w:val="24"/>
                <w:szCs w:val="24"/>
              </w:rPr>
            </w:pPr>
            <w:r>
              <w:rPr>
                <w:rFonts w:ascii="宋体" w:hAnsi="宋体" w:hint="eastAsia"/>
                <w:sz w:val="24"/>
                <w:szCs w:val="24"/>
              </w:rPr>
              <w:t>开发由高分子复合材料与硬制合金摩擦</w:t>
            </w:r>
            <w:proofErr w:type="gramStart"/>
            <w:r>
              <w:rPr>
                <w:rFonts w:ascii="宋体" w:hAnsi="宋体" w:hint="eastAsia"/>
                <w:sz w:val="24"/>
                <w:szCs w:val="24"/>
              </w:rPr>
              <w:t>副组成</w:t>
            </w:r>
            <w:proofErr w:type="gramEnd"/>
            <w:r>
              <w:rPr>
                <w:rFonts w:ascii="宋体" w:hAnsi="宋体" w:hint="eastAsia"/>
                <w:sz w:val="24"/>
                <w:szCs w:val="24"/>
              </w:rPr>
              <w:t>的水润滑轴承。承载能力达到</w:t>
            </w:r>
            <w:r>
              <w:rPr>
                <w:rFonts w:ascii="宋体" w:hAnsi="宋体"/>
                <w:sz w:val="24"/>
                <w:szCs w:val="24"/>
              </w:rPr>
              <w:t>10吨以上。[PV]值达到400，动摩擦系数小于0.02。耐冲击，易加工，耐污水，耐磨，对泥砂杂质不敏感，线速度可达25m/s。干湿磨擦性能均较好，在无水情况下可以运行30~90s。</w:t>
            </w:r>
          </w:p>
        </w:tc>
      </w:tr>
    </w:tbl>
    <w:p w14:paraId="45BBB3E9" w14:textId="77777777" w:rsidR="004E2450" w:rsidRPr="002541C6" w:rsidRDefault="004E2450"/>
    <w:sectPr w:rsidR="004E2450" w:rsidRPr="00254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14"/>
    <w:rsid w:val="00012A25"/>
    <w:rsid w:val="00012B64"/>
    <w:rsid w:val="00056133"/>
    <w:rsid w:val="000853D8"/>
    <w:rsid w:val="00097A43"/>
    <w:rsid w:val="000B12D7"/>
    <w:rsid w:val="000E1B39"/>
    <w:rsid w:val="001175FD"/>
    <w:rsid w:val="0017433B"/>
    <w:rsid w:val="001B4AC6"/>
    <w:rsid w:val="001F3E78"/>
    <w:rsid w:val="001F601C"/>
    <w:rsid w:val="002407F2"/>
    <w:rsid w:val="002541C6"/>
    <w:rsid w:val="00263DDF"/>
    <w:rsid w:val="0027403E"/>
    <w:rsid w:val="00291F54"/>
    <w:rsid w:val="0029558A"/>
    <w:rsid w:val="002C04A5"/>
    <w:rsid w:val="002E36FD"/>
    <w:rsid w:val="003268DD"/>
    <w:rsid w:val="003A37AB"/>
    <w:rsid w:val="003D7A0A"/>
    <w:rsid w:val="003F0ADC"/>
    <w:rsid w:val="0040208B"/>
    <w:rsid w:val="00444780"/>
    <w:rsid w:val="004813AF"/>
    <w:rsid w:val="004A2354"/>
    <w:rsid w:val="004E2450"/>
    <w:rsid w:val="00513638"/>
    <w:rsid w:val="005148C4"/>
    <w:rsid w:val="00561343"/>
    <w:rsid w:val="00565EBE"/>
    <w:rsid w:val="005A2D90"/>
    <w:rsid w:val="005F385F"/>
    <w:rsid w:val="00671DFC"/>
    <w:rsid w:val="0068208B"/>
    <w:rsid w:val="006A3E2D"/>
    <w:rsid w:val="006B11F1"/>
    <w:rsid w:val="007630D4"/>
    <w:rsid w:val="00773921"/>
    <w:rsid w:val="007A747C"/>
    <w:rsid w:val="008312C4"/>
    <w:rsid w:val="0084468B"/>
    <w:rsid w:val="008734EF"/>
    <w:rsid w:val="008736F5"/>
    <w:rsid w:val="00886361"/>
    <w:rsid w:val="00891399"/>
    <w:rsid w:val="008A09D0"/>
    <w:rsid w:val="008B7D1A"/>
    <w:rsid w:val="008C0B3F"/>
    <w:rsid w:val="0090344F"/>
    <w:rsid w:val="009B1F90"/>
    <w:rsid w:val="009C7C52"/>
    <w:rsid w:val="00A45002"/>
    <w:rsid w:val="00A55665"/>
    <w:rsid w:val="00A86CB1"/>
    <w:rsid w:val="00B03CAF"/>
    <w:rsid w:val="00B31FE3"/>
    <w:rsid w:val="00B378FC"/>
    <w:rsid w:val="00B42E3F"/>
    <w:rsid w:val="00B44C2C"/>
    <w:rsid w:val="00B75AF9"/>
    <w:rsid w:val="00B8572E"/>
    <w:rsid w:val="00BA5636"/>
    <w:rsid w:val="00BC6127"/>
    <w:rsid w:val="00BE12DB"/>
    <w:rsid w:val="00C05444"/>
    <w:rsid w:val="00C17020"/>
    <w:rsid w:val="00C35357"/>
    <w:rsid w:val="00CA101F"/>
    <w:rsid w:val="00D34681"/>
    <w:rsid w:val="00DE000F"/>
    <w:rsid w:val="00E20881"/>
    <w:rsid w:val="00E40ECC"/>
    <w:rsid w:val="00E7383A"/>
    <w:rsid w:val="00E865FA"/>
    <w:rsid w:val="00EA6ED2"/>
    <w:rsid w:val="00EC107A"/>
    <w:rsid w:val="00EE23C8"/>
    <w:rsid w:val="00F17314"/>
    <w:rsid w:val="00F3517B"/>
    <w:rsid w:val="00F571CF"/>
    <w:rsid w:val="00F73D9C"/>
    <w:rsid w:val="00F80DEB"/>
    <w:rsid w:val="00FB2593"/>
    <w:rsid w:val="00FC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4068-5072-4E3A-954D-C152CE28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1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541C6"/>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zhang</dc:creator>
  <cp:keywords/>
  <dc:description/>
  <cp:lastModifiedBy>li zhang</cp:lastModifiedBy>
  <cp:revision>2</cp:revision>
  <dcterms:created xsi:type="dcterms:W3CDTF">2020-11-27T10:01:00Z</dcterms:created>
  <dcterms:modified xsi:type="dcterms:W3CDTF">2020-11-27T10:01:00Z</dcterms:modified>
</cp:coreProperties>
</file>