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DE82F">
      <w:pPr>
        <w:widowControl/>
        <w:snapToGrid w:val="0"/>
        <w:spacing w:line="460" w:lineRule="exact"/>
        <w:jc w:val="left"/>
        <w:outlineLvl w:val="0"/>
        <w:rPr>
          <w:rFonts w:ascii="宋体" w:hAnsi="宋体" w:eastAsia="宋体" w:cs="Times New Roman"/>
          <w:bCs/>
          <w:iCs/>
          <w:color w:val="000000" w:themeColor="text1"/>
          <w:kern w:val="0"/>
          <w:sz w:val="24"/>
          <w:szCs w:val="24"/>
          <w14:textFill>
            <w14:solidFill>
              <w14:schemeClr w14:val="tx1"/>
            </w14:solidFill>
          </w14:textFill>
        </w:rPr>
      </w:pPr>
      <w:r>
        <w:rPr>
          <w:rFonts w:hint="eastAsia" w:ascii="宋体" w:hAnsi="宋体" w:eastAsia="宋体" w:cs="Times New Roman"/>
          <w:bCs/>
          <w:iCs/>
          <w:color w:val="000000" w:themeColor="text1"/>
          <w:kern w:val="0"/>
          <w:sz w:val="24"/>
          <w:szCs w:val="24"/>
          <w14:textFill>
            <w14:solidFill>
              <w14:schemeClr w14:val="tx1"/>
            </w14:solidFill>
          </w14:textFill>
        </w:rPr>
        <w:t>附件1</w:t>
      </w:r>
    </w:p>
    <w:p w14:paraId="6061323B">
      <w:pPr>
        <w:widowControl/>
        <w:snapToGrid w:val="0"/>
        <w:spacing w:line="460" w:lineRule="exact"/>
        <w:jc w:val="center"/>
        <w:outlineLvl w:val="0"/>
        <w:rPr>
          <w:rFonts w:ascii="宋体" w:hAnsi="宋体" w:eastAsia="宋体" w:cs="Times New Roman"/>
          <w:b/>
          <w:bCs/>
          <w:iCs/>
          <w:color w:val="000000" w:themeColor="text1"/>
          <w:kern w:val="0"/>
          <w:sz w:val="32"/>
          <w:szCs w:val="32"/>
          <w14:textFill>
            <w14:solidFill>
              <w14:schemeClr w14:val="tx1"/>
            </w14:solidFill>
          </w14:textFill>
        </w:rPr>
      </w:pPr>
      <w:bookmarkStart w:id="1" w:name="_GoBack"/>
      <w:bookmarkStart w:id="0" w:name="OLE_LINK1"/>
      <w:r>
        <w:rPr>
          <w:rFonts w:hint="eastAsia" w:ascii="宋体" w:hAnsi="宋体" w:eastAsia="宋体" w:cs="Times New Roman"/>
          <w:b/>
          <w:bCs/>
          <w:iCs/>
          <w:color w:val="000000" w:themeColor="text1"/>
          <w:kern w:val="0"/>
          <w:sz w:val="32"/>
          <w:szCs w:val="32"/>
          <w14:textFill>
            <w14:solidFill>
              <w14:schemeClr w14:val="tx1"/>
            </w14:solidFill>
          </w14:textFill>
        </w:rPr>
        <w:t>中国高校产学研创新基金</w:t>
      </w:r>
      <w:bookmarkEnd w:id="0"/>
      <w:r>
        <w:rPr>
          <w:rFonts w:hint="eastAsia" w:ascii="宋体" w:hAnsi="宋体" w:eastAsia="宋体" w:cs="Times New Roman"/>
          <w:b/>
          <w:bCs/>
          <w:iCs/>
          <w:color w:val="000000" w:themeColor="text1"/>
          <w:kern w:val="0"/>
          <w:sz w:val="32"/>
          <w:szCs w:val="32"/>
          <w14:textFill>
            <w14:solidFill>
              <w14:schemeClr w14:val="tx1"/>
            </w14:solidFill>
          </w14:textFill>
        </w:rPr>
        <w:t>-AI+网络安全治理技术专项</w:t>
      </w:r>
    </w:p>
    <w:p w14:paraId="0BD0F580">
      <w:pPr>
        <w:widowControl/>
        <w:snapToGrid w:val="0"/>
        <w:spacing w:after="156" w:afterLines="50" w:line="460" w:lineRule="exact"/>
        <w:jc w:val="center"/>
        <w:outlineLvl w:val="0"/>
        <w:rPr>
          <w:rFonts w:ascii="宋体" w:hAnsi="宋体" w:eastAsia="宋体" w:cs="Times New Roman"/>
          <w:b/>
          <w:bCs/>
          <w:iCs/>
          <w:color w:val="000000" w:themeColor="text1"/>
          <w:kern w:val="0"/>
          <w:sz w:val="32"/>
          <w:szCs w:val="32"/>
          <w14:textFill>
            <w14:solidFill>
              <w14:schemeClr w14:val="tx1"/>
            </w14:solidFill>
          </w14:textFill>
        </w:rPr>
      </w:pPr>
      <w:r>
        <w:rPr>
          <w:rFonts w:hint="eastAsia" w:ascii="宋体" w:hAnsi="宋体" w:eastAsia="宋体" w:cs="Times New Roman"/>
          <w:b/>
          <w:bCs/>
          <w:iCs/>
          <w:color w:val="000000" w:themeColor="text1"/>
          <w:kern w:val="0"/>
          <w:sz w:val="32"/>
          <w:szCs w:val="32"/>
          <w14:textFill>
            <w14:solidFill>
              <w14:schemeClr w14:val="tx1"/>
            </w14:solidFill>
          </w14:textFill>
        </w:rPr>
        <w:t>申请指南说明</w:t>
      </w:r>
    </w:p>
    <w:bookmarkEnd w:id="1"/>
    <w:p w14:paraId="6A66F0D6">
      <w:pPr>
        <w:widowControl/>
        <w:snapToGrid w:val="0"/>
        <w:spacing w:line="46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根据 《关于申报2025年中国高校产学研创新基金的通知》（教科发中心函〔2025〕</w:t>
      </w:r>
      <w:r>
        <w:rPr>
          <w:rFonts w:ascii="宋体" w:hAnsi="宋体" w:eastAsia="宋体"/>
          <w:color w:val="000000" w:themeColor="text1"/>
          <w:sz w:val="24"/>
          <w14:textFill>
            <w14:solidFill>
              <w14:schemeClr w14:val="tx1"/>
            </w14:solidFill>
          </w14:textFill>
        </w:rPr>
        <w:t>3</w:t>
      </w:r>
      <w:r>
        <w:rPr>
          <w:rFonts w:hint="eastAsia" w:ascii="宋体" w:hAnsi="宋体" w:eastAsia="宋体"/>
          <w:color w:val="000000" w:themeColor="text1"/>
          <w:sz w:val="24"/>
          <w14:textFill>
            <w14:solidFill>
              <w14:schemeClr w14:val="tx1"/>
            </w14:solidFill>
          </w14:textFill>
        </w:rPr>
        <w:t>号)的相关要求，教育部高等学校科学研究发展中心与赛尔新技术（北京）有限公司、奇安信科技集团股份有限公司联合设立“中国高校产学研创新基金-AI+网络安全治理技术专项”，支持高校在新工科中的网络空间安全、大数据、</w:t>
      </w:r>
      <w:r>
        <w:rPr>
          <w:rFonts w:ascii="宋体" w:hAnsi="宋体" w:eastAsia="宋体"/>
          <w:color w:val="000000" w:themeColor="text1"/>
          <w:sz w:val="24"/>
          <w14:textFill>
            <w14:solidFill>
              <w14:schemeClr w14:val="tx1"/>
            </w14:solidFill>
          </w14:textFill>
        </w:rPr>
        <w:t>云计算、人工智能</w:t>
      </w:r>
      <w:r>
        <w:rPr>
          <w:rFonts w:hint="eastAsia" w:ascii="宋体" w:hAnsi="宋体" w:eastAsia="宋体"/>
          <w:color w:val="000000" w:themeColor="text1"/>
          <w:sz w:val="24"/>
          <w14:textFill>
            <w14:solidFill>
              <w14:schemeClr w14:val="tx1"/>
            </w14:solidFill>
          </w14:textFill>
        </w:rPr>
        <w:t>等技术方向的开展相关科研、行业应用及创新研究。</w:t>
      </w:r>
    </w:p>
    <w:p w14:paraId="0A322A92">
      <w:pPr>
        <w:widowControl/>
        <w:snapToGrid w:val="0"/>
        <w:spacing w:before="312" w:beforeLines="100" w:line="460" w:lineRule="exact"/>
        <w:ind w:firstLine="562" w:firstLineChars="200"/>
        <w:outlineLvl w:val="1"/>
        <w:rPr>
          <w:rFonts w:ascii="黑体" w:hAnsi="黑体" w:eastAsia="黑体"/>
          <w:b/>
          <w:bCs/>
          <w:iCs/>
          <w:color w:val="000000" w:themeColor="text1"/>
          <w:kern w:val="0"/>
          <w:sz w:val="28"/>
          <w:szCs w:val="28"/>
          <w14:textFill>
            <w14:solidFill>
              <w14:schemeClr w14:val="tx1"/>
            </w14:solidFill>
          </w14:textFill>
        </w:rPr>
      </w:pPr>
      <w:r>
        <w:rPr>
          <w:rFonts w:hint="eastAsia" w:ascii="黑体" w:hAnsi="黑体" w:eastAsia="黑体"/>
          <w:b/>
          <w:bCs/>
          <w:iCs/>
          <w:color w:val="000000" w:themeColor="text1"/>
          <w:kern w:val="0"/>
          <w:sz w:val="28"/>
          <w:szCs w:val="28"/>
          <w14:textFill>
            <w14:solidFill>
              <w14:schemeClr w14:val="tx1"/>
            </w14:solidFill>
          </w14:textFill>
        </w:rPr>
        <w:t>一、课题说明</w:t>
      </w:r>
    </w:p>
    <w:p w14:paraId="4197DAF0">
      <w:pPr>
        <w:spacing w:line="46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“AI+网络安全治理技术专项”旨在支持高校在网络空间安全、大数据、</w:t>
      </w:r>
      <w:r>
        <w:rPr>
          <w:rFonts w:ascii="宋体" w:hAnsi="宋体" w:eastAsia="宋体"/>
          <w:color w:val="000000" w:themeColor="text1"/>
          <w:sz w:val="24"/>
          <w14:textFill>
            <w14:solidFill>
              <w14:schemeClr w14:val="tx1"/>
            </w14:solidFill>
          </w14:textFill>
        </w:rPr>
        <w:t>云计算、人工智能</w:t>
      </w:r>
      <w:r>
        <w:rPr>
          <w:rFonts w:hint="eastAsia" w:ascii="宋体" w:hAnsi="宋体" w:eastAsia="宋体"/>
          <w:color w:val="000000" w:themeColor="text1"/>
          <w:sz w:val="24"/>
          <w14:textFill>
            <w14:solidFill>
              <w14:schemeClr w14:val="tx1"/>
            </w14:solidFill>
          </w14:textFill>
        </w:rPr>
        <w:t>等技术方向的开展相关科研、行业应用及创新研究。以科技变革促进教育变革，创新人才培养机制，推动社会发展。</w:t>
      </w:r>
    </w:p>
    <w:p w14:paraId="79B6EFFE">
      <w:pPr>
        <w:spacing w:line="46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2.“AI+网络安全治理技术专项”的申请截止时间为2025年</w:t>
      </w:r>
      <w:r>
        <w:rPr>
          <w:rFonts w:ascii="宋体" w:hAnsi="宋体" w:eastAsia="宋体"/>
          <w:color w:val="000000" w:themeColor="text1"/>
          <w:sz w:val="24"/>
          <w14:textFill>
            <w14:solidFill>
              <w14:schemeClr w14:val="tx1"/>
            </w14:solidFill>
          </w14:textFill>
        </w:rPr>
        <w:t>12</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14:textFill>
            <w14:solidFill>
              <w14:schemeClr w14:val="tx1"/>
            </w14:solidFill>
          </w14:textFill>
        </w:rPr>
        <w:t>15</w:t>
      </w:r>
      <w:r>
        <w:rPr>
          <w:rFonts w:hint="eastAsia" w:ascii="宋体" w:hAnsi="宋体" w:eastAsia="宋体"/>
          <w:color w:val="000000" w:themeColor="text1"/>
          <w:sz w:val="24"/>
          <w14:textFill>
            <w14:solidFill>
              <w14:schemeClr w14:val="tx1"/>
            </w14:solidFill>
          </w14:textFill>
        </w:rPr>
        <w:t>日。计划执行时间为202</w:t>
      </w:r>
      <w:r>
        <w:rPr>
          <w:rFonts w:ascii="宋体" w:hAnsi="宋体" w:eastAsia="宋体"/>
          <w:color w:val="000000" w:themeColor="text1"/>
          <w:sz w:val="24"/>
          <w14:textFill>
            <w14:solidFill>
              <w14:schemeClr w14:val="tx1"/>
            </w14:solidFill>
          </w14:textFill>
        </w:rPr>
        <w:t>6</w:t>
      </w:r>
      <w:r>
        <w:rPr>
          <w:rFonts w:hint="eastAsia" w:ascii="宋体" w:hAnsi="宋体" w:eastAsia="宋体"/>
          <w:color w:val="000000" w:themeColor="text1"/>
          <w:sz w:val="24"/>
          <w14:textFill>
            <w14:solidFill>
              <w14:schemeClr w14:val="tx1"/>
            </w14:solidFill>
          </w14:textFill>
        </w:rPr>
        <w:t>年</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月1日～202</w:t>
      </w:r>
      <w:r>
        <w:rPr>
          <w:rFonts w:ascii="宋体" w:hAnsi="宋体" w:eastAsia="宋体"/>
          <w:color w:val="000000" w:themeColor="text1"/>
          <w:sz w:val="24"/>
          <w14:textFill>
            <w14:solidFill>
              <w14:schemeClr w14:val="tx1"/>
            </w14:solidFill>
          </w14:textFill>
        </w:rPr>
        <w:t>7</w:t>
      </w:r>
      <w:r>
        <w:rPr>
          <w:rFonts w:hint="eastAsia" w:ascii="宋体" w:hAnsi="宋体" w:eastAsia="宋体"/>
          <w:color w:val="000000" w:themeColor="text1"/>
          <w:sz w:val="24"/>
          <w14:textFill>
            <w14:solidFill>
              <w14:schemeClr w14:val="tx1"/>
            </w14:solidFill>
          </w14:textFill>
        </w:rPr>
        <w:t>年</w:t>
      </w:r>
      <w:r>
        <w:rPr>
          <w:rFonts w:ascii="宋体" w:hAnsi="宋体" w:eastAsia="宋体"/>
          <w:color w:val="000000" w:themeColor="text1"/>
          <w:sz w:val="24"/>
          <w14:textFill>
            <w14:solidFill>
              <w14:schemeClr w14:val="tx1"/>
            </w14:solidFill>
          </w14:textFill>
        </w:rPr>
        <w:t>3</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14:textFill>
            <w14:solidFill>
              <w14:schemeClr w14:val="tx1"/>
            </w14:solidFill>
          </w14:textFill>
        </w:rPr>
        <w:t>31</w:t>
      </w:r>
      <w:r>
        <w:rPr>
          <w:rFonts w:hint="eastAsia" w:ascii="宋体" w:hAnsi="宋体" w:eastAsia="宋体"/>
          <w:color w:val="000000" w:themeColor="text1"/>
          <w:sz w:val="24"/>
          <w14:textFill>
            <w14:solidFill>
              <w14:schemeClr w14:val="tx1"/>
            </w14:solidFill>
          </w14:textFill>
        </w:rPr>
        <w:t>日，可根据课题复杂程度适度延长执行周期，最长不超过两年。</w:t>
      </w:r>
    </w:p>
    <w:p w14:paraId="3E2B2F4F">
      <w:pPr>
        <w:spacing w:line="52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3.“AI+网络安全治理技术专项”为每个立项课题提供总经费</w:t>
      </w:r>
      <w:r>
        <w:rPr>
          <w:rFonts w:ascii="宋体" w:hAnsi="宋体" w:eastAsia="宋体"/>
          <w:color w:val="000000" w:themeColor="text1"/>
          <w:sz w:val="24"/>
          <w14:textFill>
            <w14:solidFill>
              <w14:schemeClr w14:val="tx1"/>
            </w14:solidFill>
          </w14:textFill>
        </w:rPr>
        <w:t>10</w:t>
      </w:r>
      <w:r>
        <w:rPr>
          <w:rFonts w:hint="eastAsia" w:ascii="宋体" w:hAnsi="宋体" w:eastAsia="宋体"/>
          <w:color w:val="000000" w:themeColor="text1"/>
          <w:sz w:val="24"/>
          <w14:textFill>
            <w14:solidFill>
              <w14:schemeClr w14:val="tx1"/>
            </w14:solidFill>
          </w14:textFill>
        </w:rPr>
        <w:t>万元至50万元的课题研究经费及科研软硬件平台支持，其中课题研究经费</w:t>
      </w:r>
      <w:r>
        <w:rPr>
          <w:rFonts w:ascii="宋体" w:hAnsi="宋体" w:eastAsia="宋体"/>
          <w:color w:val="000000" w:themeColor="text1"/>
          <w:sz w:val="24"/>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万元至</w:t>
      </w:r>
      <w:r>
        <w:rPr>
          <w:rFonts w:ascii="宋体" w:hAnsi="宋体" w:eastAsia="宋体"/>
          <w:color w:val="000000" w:themeColor="text1"/>
          <w:sz w:val="24"/>
          <w14:textFill>
            <w14:solidFill>
              <w14:schemeClr w14:val="tx1"/>
            </w14:solidFill>
          </w14:textFill>
        </w:rPr>
        <w:t>25</w:t>
      </w:r>
      <w:r>
        <w:rPr>
          <w:rFonts w:hint="eastAsia" w:ascii="宋体" w:hAnsi="宋体" w:eastAsia="宋体"/>
          <w:color w:val="000000" w:themeColor="text1"/>
          <w:sz w:val="24"/>
          <w14:textFill>
            <w14:solidFill>
              <w14:schemeClr w14:val="tx1"/>
            </w14:solidFill>
          </w14:textFill>
        </w:rPr>
        <w:t>万元。</w:t>
      </w:r>
    </w:p>
    <w:p w14:paraId="6097CE02">
      <w:pPr>
        <w:spacing w:line="4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4.“AI+网络安全治理技术专项”基金课题的选题方向见表一，申请院校可从表一中选择一个课题方向进行申报。基金课题提供的相关技术、应用和</w:t>
      </w:r>
      <w:r>
        <w:rPr>
          <w:rFonts w:hint="eastAsia" w:ascii="宋体" w:hAnsi="宋体" w:eastAsia="宋体"/>
          <w:color w:val="000000" w:themeColor="text1"/>
          <w:kern w:val="0"/>
          <w:sz w:val="24"/>
          <w:szCs w:val="24"/>
          <w14:textFill>
            <w14:solidFill>
              <w14:schemeClr w14:val="tx1"/>
            </w14:solidFill>
          </w14:textFill>
        </w:rPr>
        <w:t>软硬件平台见表二。</w:t>
      </w:r>
    </w:p>
    <w:p w14:paraId="02C22B16">
      <w:pPr>
        <w:spacing w:line="480" w:lineRule="exact"/>
        <w:ind w:firstLine="482"/>
        <w:jc w:val="center"/>
        <w:rPr>
          <w:b/>
          <w:color w:val="000000" w:themeColor="text1"/>
          <w14:textFill>
            <w14:solidFill>
              <w14:schemeClr w14:val="tx1"/>
            </w14:solidFill>
          </w14:textFill>
        </w:rPr>
      </w:pPr>
      <w:r>
        <w:rPr>
          <w:rFonts w:hint="eastAsia" w:ascii="宋体" w:hAnsi="宋体" w:eastAsia="宋体"/>
          <w:b/>
          <w:color w:val="000000" w:themeColor="text1"/>
          <w:kern w:val="0"/>
          <w:sz w:val="24"/>
          <w:szCs w:val="24"/>
          <w14:textFill>
            <w14:solidFill>
              <w14:schemeClr w14:val="tx1"/>
            </w14:solidFill>
          </w14:textFill>
        </w:rPr>
        <w:t>表一</w:t>
      </w:r>
      <w:r>
        <w:rPr>
          <w:rFonts w:ascii="宋体" w:hAnsi="宋体" w:eastAsia="宋体"/>
          <w:b/>
          <w:color w:val="000000" w:themeColor="text1"/>
          <w:kern w:val="0"/>
          <w:sz w:val="24"/>
          <w:szCs w:val="24"/>
          <w14:textFill>
            <w14:solidFill>
              <w14:schemeClr w14:val="tx1"/>
            </w14:solidFill>
          </w14:textFill>
        </w:rPr>
        <w:t xml:space="preserve"> </w:t>
      </w:r>
      <w:r>
        <w:rPr>
          <w:rFonts w:hint="eastAsia" w:ascii="宋体" w:hAnsi="宋体" w:eastAsia="宋体"/>
          <w:b/>
          <w:color w:val="000000" w:themeColor="text1"/>
          <w:kern w:val="0"/>
          <w:sz w:val="24"/>
          <w:szCs w:val="24"/>
          <w14:textFill>
            <w14:solidFill>
              <w14:schemeClr w14:val="tx1"/>
            </w14:solidFill>
          </w14:textFill>
        </w:rPr>
        <w:t>“AI+网络安全治理技术专项”选题列表</w:t>
      </w:r>
    </w:p>
    <w:tbl>
      <w:tblPr>
        <w:tblStyle w:val="12"/>
        <w:tblpPr w:leftFromText="180" w:rightFromText="180" w:vertAnchor="text" w:tblpX="10427" w:tblpY="-5549"/>
        <w:tblOverlap w:val="never"/>
        <w:tblW w:w="1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tblGrid>
      <w:tr w14:paraId="6B3A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8" w:type="dxa"/>
          </w:tcPr>
          <w:p w14:paraId="6DFBAD73">
            <w:pPr>
              <w:widowControl/>
              <w:numPr>
                <w:ilvl w:val="0"/>
                <w:numId w:val="1"/>
              </w:numPr>
              <w:spacing w:before="156" w:beforeLines="50" w:after="62" w:afterLines="20" w:line="300" w:lineRule="exact"/>
              <w:ind w:left="200" w:firstLine="560"/>
              <w:contextualSpacing/>
              <w:outlineLvl w:val="1"/>
              <w:rPr>
                <w:rFonts w:ascii="Times New Roman" w:hAnsi="Times New Roman" w:eastAsia="微软雅黑" w:cs="Times New Roman"/>
                <w:b/>
                <w:bCs/>
                <w:iCs/>
                <w:color w:val="000000" w:themeColor="text1"/>
                <w:sz w:val="28"/>
                <w14:textFill>
                  <w14:solidFill>
                    <w14:schemeClr w14:val="tx1"/>
                  </w14:solidFill>
                </w14:textFill>
              </w:rPr>
            </w:pPr>
          </w:p>
        </w:tc>
      </w:tr>
    </w:tbl>
    <w:tbl>
      <w:tblPr>
        <w:tblStyle w:val="12"/>
        <w:tblpPr w:leftFromText="180" w:rightFromText="180" w:vertAnchor="text" w:tblpX="10427" w:tblpY="32"/>
        <w:tblOverlap w:val="never"/>
        <w:tblW w:w="1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tblGrid>
      <w:tr w14:paraId="63E1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38" w:type="dxa"/>
          </w:tcPr>
          <w:p w14:paraId="2EED624E">
            <w:pPr>
              <w:widowControl/>
              <w:numPr>
                <w:ilvl w:val="0"/>
                <w:numId w:val="1"/>
              </w:numPr>
              <w:spacing w:before="156" w:beforeLines="50" w:after="62" w:afterLines="20" w:line="300" w:lineRule="exact"/>
              <w:ind w:left="200" w:firstLine="560"/>
              <w:contextualSpacing/>
              <w:outlineLvl w:val="1"/>
              <w:rPr>
                <w:rFonts w:ascii="Times New Roman" w:hAnsi="Times New Roman" w:eastAsia="微软雅黑" w:cs="Times New Roman"/>
                <w:b/>
                <w:bCs/>
                <w:iCs/>
                <w:color w:val="000000" w:themeColor="text1"/>
                <w:sz w:val="28"/>
                <w14:textFill>
                  <w14:solidFill>
                    <w14:schemeClr w14:val="tx1"/>
                  </w14:solidFill>
                </w14:textFill>
              </w:rPr>
            </w:pPr>
          </w:p>
        </w:tc>
      </w:tr>
    </w:tbl>
    <w:tbl>
      <w:tblPr>
        <w:tblStyle w:val="11"/>
        <w:tblW w:w="52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56"/>
        <w:gridCol w:w="6900"/>
      </w:tblGrid>
      <w:tr w14:paraId="3F63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23" w:type="pct"/>
            <w:shd w:val="clear" w:color="000000" w:fill="D0CECE"/>
            <w:vAlign w:val="center"/>
          </w:tcPr>
          <w:p w14:paraId="4CE57EA9">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课题方向编号</w:t>
            </w:r>
          </w:p>
        </w:tc>
        <w:tc>
          <w:tcPr>
            <w:tcW w:w="824" w:type="pct"/>
            <w:shd w:val="clear" w:color="000000" w:fill="D0CECE"/>
            <w:vAlign w:val="center"/>
          </w:tcPr>
          <w:p w14:paraId="1B38F7BB">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课题方向</w:t>
            </w:r>
          </w:p>
        </w:tc>
        <w:tc>
          <w:tcPr>
            <w:tcW w:w="3653" w:type="pct"/>
            <w:shd w:val="clear" w:color="000000" w:fill="D0CECE"/>
            <w:vAlign w:val="center"/>
          </w:tcPr>
          <w:p w14:paraId="73848EB5">
            <w:pPr>
              <w:widowControl/>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课题研究内容</w:t>
            </w:r>
          </w:p>
        </w:tc>
      </w:tr>
      <w:tr w14:paraId="6583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11F30A13">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A01</w:t>
            </w:r>
          </w:p>
        </w:tc>
        <w:tc>
          <w:tcPr>
            <w:tcW w:w="824" w:type="pct"/>
            <w:shd w:val="clear" w:color="auto" w:fill="auto"/>
            <w:vAlign w:val="center"/>
          </w:tcPr>
          <w:p w14:paraId="33D63413">
            <w:pPr>
              <w:spacing w:line="320" w:lineRule="exact"/>
              <w:jc w:val="left"/>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基于知识图谱与人工智能融合的辅助教学技术研究</w:t>
            </w:r>
          </w:p>
        </w:tc>
        <w:tc>
          <w:tcPr>
            <w:tcW w:w="3653" w:type="pct"/>
            <w:shd w:val="clear" w:color="auto" w:fill="auto"/>
            <w:vAlign w:val="center"/>
          </w:tcPr>
          <w:p w14:paraId="2A325FAE">
            <w:pPr>
              <w:spacing w:line="32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针对“以学生为中心”的工程教育理念，用技术重构教育的“生产力”，推动教育从“经验驱动”向“数据驱动”、从“标准化”向“个性化”的范式转变，实现教育质量的整体提升与社会价值的最大化。研究围绕知识图谱与人工智能技术融合进行赋能教学展开，基于利用虚拟化技术进行仿真实践和演练的教学系统。</w:t>
            </w:r>
          </w:p>
          <w:p w14:paraId="3B988715">
            <w:pPr>
              <w:spacing w:line="32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所需研究的技术包括但不限于：构建多模态知识点智能提取框架，基于NLP技术实现文本的实体识别、语义摘要生成，结合CV技术视频、图片进行文本提取，形成结构化知识图谱库；研发网络拓扑动态建模方法，通过图神经网络将物理网络架构抽象为语义图谱；开发基于图谱的问答AI助教系统，融合知识检索与自然语言生成技术，实现专业问题解答与学习路径推荐。</w:t>
            </w:r>
          </w:p>
        </w:tc>
      </w:tr>
      <w:tr w14:paraId="28CC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6B8A1AB2">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A02</w:t>
            </w:r>
          </w:p>
        </w:tc>
        <w:tc>
          <w:tcPr>
            <w:tcW w:w="824" w:type="pct"/>
            <w:shd w:val="clear" w:color="auto" w:fill="auto"/>
            <w:vAlign w:val="center"/>
          </w:tcPr>
          <w:p w14:paraId="2C2F0D09">
            <w:pPr>
              <w:spacing w:line="320" w:lineRule="exact"/>
              <w:jc w:val="left"/>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数据安全技术教材体系构建与实践研究</w:t>
            </w:r>
          </w:p>
        </w:tc>
        <w:tc>
          <w:tcPr>
            <w:tcW w:w="3653" w:type="pct"/>
            <w:shd w:val="clear" w:color="auto" w:fill="auto"/>
            <w:vAlign w:val="center"/>
          </w:tcPr>
          <w:p w14:paraId="14E9B578">
            <w:pPr>
              <w:spacing w:line="32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为应对数据安全领域人才培养的迫切需求，解决当前教材知识滞后、实践脱节等问题，聚焦数据安全全生命周期，关注数据安全领域的通用防护技术、核心技术与工程实践，以数据库防火墙、数据库审计、数据脱敏等关键技术切入，深度融合零信任架构、隐私计算等前沿技术，结合数据安全典型案例，构建“理论+案例+实践”三位一体的创新教材体系。以构建科学高效的数据安全技术教育体系为核心目标，通过系统性研究数据安全技术教育的理论框架、实践模式及创新路径，深入剖析行业需求与教学现状的矛盾点。</w:t>
            </w:r>
          </w:p>
          <w:p w14:paraId="2413DB2D">
            <w:pPr>
              <w:spacing w:line="32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研究内容包括但不限于：数据库安全防护技术中的访问控制、SQL注入防御；数据脱敏方法与实践，涵盖数据使用过程中的静态脱敏、动态脱敏的技术原理和实现；操作系统安全的安全加固、身份认证、访问控制等；日志审计技术中的日志采集标准化、实时监控分析、异常行为溯源及合规审计等；容灾备份关键技术，涉及数据库备份、系统备份、增量/全量备份策略等内容；数据安全应急响应实践，涉及数据泄露、数据篡改、数据破坏等内容，数据安全保障体系架构和应对数据安全事件的能力。以此构建出一套包含课程体系设计、教学方法创新、实践平台搭建、师资能力提升在内的教育优化模型。</w:t>
            </w:r>
          </w:p>
        </w:tc>
      </w:tr>
      <w:tr w14:paraId="0205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628146B2">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A03</w:t>
            </w:r>
          </w:p>
        </w:tc>
        <w:tc>
          <w:tcPr>
            <w:tcW w:w="824" w:type="pct"/>
            <w:shd w:val="clear" w:color="auto" w:fill="auto"/>
            <w:vAlign w:val="center"/>
          </w:tcPr>
          <w:p w14:paraId="0B82C7BD">
            <w:pPr>
              <w:pStyle w:val="2"/>
              <w:widowControl/>
              <w:shd w:val="clear" w:color="auto" w:fill="FFFFFF"/>
              <w:spacing w:before="366" w:beforeAutospacing="0" w:after="274" w:afterAutospacing="0" w:line="30" w:lineRule="atLeast"/>
              <w:rPr>
                <w:rFonts w:hint="default" w:asciiTheme="minorEastAsia" w:hAnsiTheme="minorEastAsia" w:eastAsiaTheme="minorEastAsia" w:cstheme="minorEastAsia"/>
                <w:b w:val="0"/>
                <w:bCs w:val="0"/>
                <w:color w:val="000000" w:themeColor="text1"/>
                <w:kern w:val="2"/>
                <w:sz w:val="20"/>
                <w:szCs w:val="20"/>
                <w14:textFill>
                  <w14:solidFill>
                    <w14:schemeClr w14:val="tx1"/>
                  </w14:solidFill>
                </w14:textFill>
              </w:rPr>
            </w:pPr>
            <w:r>
              <w:rPr>
                <w:rFonts w:asciiTheme="minorEastAsia" w:hAnsiTheme="minorEastAsia" w:eastAsiaTheme="minorEastAsia" w:cstheme="minorEastAsia"/>
                <w:b w:val="0"/>
                <w:bCs w:val="0"/>
                <w:color w:val="000000" w:themeColor="text1"/>
                <w:kern w:val="2"/>
                <w:sz w:val="20"/>
                <w:szCs w:val="20"/>
                <w14:textFill>
                  <w14:solidFill>
                    <w14:schemeClr w14:val="tx1"/>
                  </w14:solidFill>
                </w14:textFill>
              </w:rPr>
              <w:t>攻防靶场自动化渗透智能体应用研究</w:t>
            </w:r>
          </w:p>
        </w:tc>
        <w:tc>
          <w:tcPr>
            <w:tcW w:w="3653" w:type="pct"/>
            <w:shd w:val="clear" w:color="auto" w:fill="auto"/>
            <w:vAlign w:val="center"/>
          </w:tcPr>
          <w:p w14:paraId="0C759A0F">
            <w:pPr>
              <w:widowControl/>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在靶场环境中，自动化渗透智能体不仅能够覆盖更广泛的攻击面，提升渗透测试的深度与广度，还能在演练过程中不断学习和优化攻击策略，实现对防御体系的持续压力测试与能力验证。相比传统人工渗透方式，智能体具备更高的效率、可重复性与自适应性，可广泛应用于网络靶场中的红队对抗、防御验证、靶机评估等场景，为构建智能化攻防对抗体系提供坚实支撑。基于网络安全攻防演练靶场系统，研究包括但不限于：基于MCP的传统自动化渗透工具的智能化编排技术；基于大语言模型的多阶段攻击链构建技术；基于大语言模型的攻击面测绘技术；利用AI自动化渗透智能体的蓝军能力评估技术；基于AI智能体的安全防御验证技术等。</w:t>
            </w:r>
          </w:p>
        </w:tc>
      </w:tr>
      <w:tr w14:paraId="4B30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1FC09D12">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A04</w:t>
            </w:r>
          </w:p>
        </w:tc>
        <w:tc>
          <w:tcPr>
            <w:tcW w:w="824" w:type="pct"/>
            <w:shd w:val="clear" w:color="auto" w:fill="auto"/>
            <w:vAlign w:val="center"/>
          </w:tcPr>
          <w:p w14:paraId="0800C02E">
            <w:pPr>
              <w:pStyle w:val="2"/>
              <w:widowControl/>
              <w:shd w:val="clear" w:color="auto" w:fill="FFFFFF"/>
              <w:spacing w:before="366" w:beforeAutospacing="0" w:after="274" w:afterAutospacing="0" w:line="30" w:lineRule="atLeast"/>
              <w:rPr>
                <w:rFonts w:hint="default" w:asciiTheme="minorEastAsia" w:hAnsiTheme="minorEastAsia" w:eastAsiaTheme="minorEastAsia" w:cstheme="minorEastAsia"/>
                <w:b w:val="0"/>
                <w:bCs w:val="0"/>
                <w:color w:val="000000" w:themeColor="text1"/>
                <w:kern w:val="2"/>
                <w:sz w:val="20"/>
                <w:szCs w:val="20"/>
                <w14:textFill>
                  <w14:solidFill>
                    <w14:schemeClr w14:val="tx1"/>
                  </w14:solidFill>
                </w14:textFill>
              </w:rPr>
            </w:pPr>
            <w:r>
              <w:rPr>
                <w:rFonts w:asciiTheme="minorEastAsia" w:hAnsiTheme="minorEastAsia" w:eastAsiaTheme="minorEastAsia" w:cstheme="minorEastAsia"/>
                <w:b w:val="0"/>
                <w:bCs w:val="0"/>
                <w:color w:val="000000" w:themeColor="text1"/>
                <w:kern w:val="2"/>
                <w:sz w:val="20"/>
                <w:szCs w:val="20"/>
                <w14:textFill>
                  <w14:solidFill>
                    <w14:schemeClr w14:val="tx1"/>
                  </w14:solidFill>
                </w14:textFill>
              </w:rPr>
              <w:t>可观测的网络安全靶场构建技术研究</w:t>
            </w:r>
          </w:p>
        </w:tc>
        <w:tc>
          <w:tcPr>
            <w:tcW w:w="3653" w:type="pct"/>
            <w:shd w:val="clear" w:color="auto" w:fill="auto"/>
            <w:vAlign w:val="center"/>
          </w:tcPr>
          <w:p w14:paraId="4EF602D7">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在复杂多变的网络空间安全形势下，构建具备可观测能力的网络安全靶场已成为推动实战化攻防演训、支撑新型安全技术验证与人才培养的重要基础设施。聚焦于构建具备高可观测性的网络安全靶场，基于网络安全攻防演练靶场系统，涵盖数据采集、传输存储、分析可视化等关键技术，旨在攻克数据处理性能瓶颈、多源数据融合等难题。期望通过深入研究，实现靶场安全态势实时感知、故障快速排查、攻防技术有效评估，为网络安全研究与实践提供坚实技术支撑。研究的内容包括但不限于：基于eBPF的全链路主机与容器事件采集；基于ebpf的rookit检测技术；海量观测数据的清洗、处理与建模；基于规则的威胁事件分析以及基于大语言模型的威胁事件分析与建模等。</w:t>
            </w:r>
          </w:p>
        </w:tc>
      </w:tr>
      <w:tr w14:paraId="2B59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4670F608">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A05</w:t>
            </w:r>
          </w:p>
        </w:tc>
        <w:tc>
          <w:tcPr>
            <w:tcW w:w="824" w:type="pct"/>
            <w:shd w:val="clear" w:color="auto" w:fill="auto"/>
            <w:vAlign w:val="center"/>
          </w:tcPr>
          <w:p w14:paraId="02102A98">
            <w:pPr>
              <w:pStyle w:val="2"/>
              <w:widowControl/>
              <w:shd w:val="clear" w:color="auto" w:fill="FFFFFF"/>
              <w:spacing w:before="366" w:beforeAutospacing="0" w:after="274" w:afterAutospacing="0" w:line="30" w:lineRule="atLeast"/>
              <w:rPr>
                <w:rFonts w:hint="default" w:asciiTheme="minorEastAsia" w:hAnsiTheme="minorEastAsia" w:eastAsiaTheme="minorEastAsia" w:cstheme="minorEastAsia"/>
                <w:b w:val="0"/>
                <w:bCs w:val="0"/>
                <w:color w:val="000000" w:themeColor="text1"/>
                <w:kern w:val="2"/>
                <w:sz w:val="20"/>
                <w:szCs w:val="20"/>
                <w14:textFill>
                  <w14:solidFill>
                    <w14:schemeClr w14:val="tx1"/>
                  </w14:solidFill>
                </w14:textFill>
              </w:rPr>
            </w:pPr>
            <w:r>
              <w:rPr>
                <w:rFonts w:asciiTheme="minorEastAsia" w:hAnsiTheme="minorEastAsia" w:eastAsiaTheme="minorEastAsia" w:cstheme="minorEastAsia"/>
                <w:b w:val="0"/>
                <w:bCs w:val="0"/>
                <w:color w:val="000000" w:themeColor="text1"/>
                <w:kern w:val="2"/>
                <w:sz w:val="20"/>
                <w:szCs w:val="20"/>
                <w14:textFill>
                  <w14:solidFill>
                    <w14:schemeClr w14:val="tx1"/>
                  </w14:solidFill>
                </w14:textFill>
              </w:rPr>
              <w:t>靶场攻防演练场景体系研究</w:t>
            </w:r>
          </w:p>
        </w:tc>
        <w:tc>
          <w:tcPr>
            <w:tcW w:w="3653" w:type="pct"/>
            <w:shd w:val="clear" w:color="auto" w:fill="auto"/>
            <w:vAlign w:val="center"/>
          </w:tcPr>
          <w:p w14:paraId="2084F58E">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网络靶场作为网络安全防御能力提升的关键载体，其攻防演练场景的优化设计至关重要。本研究聚焦于当前靶场攻防演练场景真实性不足、复杂性欠缺、扩展性受限等问题，旨在构建一套创新型演练场景体系。</w:t>
            </w:r>
          </w:p>
          <w:p w14:paraId="250715FB">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研究基于网络安全攻防演练靶场系统大规模网络节点的模拟仿真、攻击流量仿真、安全事件仿真、数据采集等能力，通过多源数据融合技术，采集真实网络环境中的流量、日志、漏洞等数据，运用大数据分析与机器学习算法，深度挖掘数据特征，构建高度逼真的网络环境模型，从网络拓扑动态变化到用户行为模拟，全方位还原真实场景。在攻防场景设计上，打造多层次、多维度的对抗体系，涵盖网络层、系统层、应用层等多类型攻击，以及信息收集到权限维持的全攻击阶段，结合多样化防御策略，满足不同层次的演练需求。同时，开发动态自适应技术，实时监测演练过程，依据参与者行为和系统状态智能调整场景参数，增强演练挑战性。推动网络安全人才培养与技术研究的发展，助力提升我国网络空间安全防御水平。研究场景包括但不限于关键信息基础设施防护、风险评估、安全运维、安全加固、应急响应、渗透测试、实战攻防演习、智能制造场景下的工控安全、智能电网工控安全、人工智能安全评测及网络安全热点安全事件等。</w:t>
            </w:r>
          </w:p>
        </w:tc>
      </w:tr>
      <w:tr w14:paraId="110C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586383C0">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A06</w:t>
            </w:r>
          </w:p>
        </w:tc>
        <w:tc>
          <w:tcPr>
            <w:tcW w:w="824" w:type="pct"/>
            <w:shd w:val="clear" w:color="auto" w:fill="auto"/>
            <w:vAlign w:val="center"/>
          </w:tcPr>
          <w:p w14:paraId="36EC094A">
            <w:pPr>
              <w:pStyle w:val="2"/>
              <w:widowControl/>
              <w:shd w:val="clear" w:color="auto" w:fill="FFFFFF"/>
              <w:spacing w:before="366" w:beforeAutospacing="0" w:after="274" w:afterAutospacing="0" w:line="30" w:lineRule="atLeast"/>
              <w:rPr>
                <w:rFonts w:hint="default" w:asciiTheme="minorEastAsia" w:hAnsiTheme="minorEastAsia" w:eastAsiaTheme="minorEastAsia" w:cstheme="minorEastAsia"/>
                <w:b w:val="0"/>
                <w:bCs w:val="0"/>
                <w:color w:val="000000" w:themeColor="text1"/>
                <w:kern w:val="2"/>
                <w:sz w:val="20"/>
                <w:szCs w:val="20"/>
                <w14:textFill>
                  <w14:solidFill>
                    <w14:schemeClr w14:val="tx1"/>
                  </w14:solidFill>
                </w14:textFill>
              </w:rPr>
            </w:pPr>
            <w:r>
              <w:rPr>
                <w:rFonts w:asciiTheme="minorEastAsia" w:hAnsiTheme="minorEastAsia" w:eastAsiaTheme="minorEastAsia" w:cstheme="minorEastAsia"/>
                <w:b w:val="0"/>
                <w:bCs w:val="0"/>
                <w:color w:val="000000" w:themeColor="text1"/>
                <w:kern w:val="2"/>
                <w:sz w:val="20"/>
                <w:szCs w:val="20"/>
                <w14:textFill>
                  <w14:solidFill>
                    <w14:schemeClr w14:val="tx1"/>
                  </w14:solidFill>
                </w14:textFill>
              </w:rPr>
              <w:t>隐私计算驱动的数据安全体系研究</w:t>
            </w:r>
          </w:p>
        </w:tc>
        <w:tc>
          <w:tcPr>
            <w:tcW w:w="3653" w:type="pct"/>
            <w:shd w:val="clear" w:color="auto" w:fill="auto"/>
            <w:vAlign w:val="center"/>
          </w:tcPr>
          <w:p w14:paraId="3D91EB80">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针对数据流通场景合规要求严、共享成本高等难题，研发以同态加密为主、可信执行环境为辅的隐私计算架构，基于多方安全计算与联邦学习的协同计算模型，通过密码学与AI技术的深度融合实现数据“可用不可见”，促进数据要素安全流通。</w:t>
            </w:r>
          </w:p>
          <w:p w14:paraId="1452CBBD">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主要研究内容包括但不限于：</w:t>
            </w:r>
          </w:p>
          <w:p w14:paraId="60D56F63">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（1）密码算法：实现同态加密方案；</w:t>
            </w:r>
          </w:p>
          <w:p w14:paraId="3497AA0A">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（2）联邦学习框架选型：对联邦学习框架进行横向评测，从通信效率、模型收敛速度、支持算法类型等维度形成技术选型报告；</w:t>
            </w:r>
          </w:p>
          <w:p w14:paraId="694A9DE6">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（3）跨平台安全协议设计：集成Intel SGX与ARM TrustZone硬件方案，开发异构环境下的统一密钥管理模块。</w:t>
            </w:r>
          </w:p>
        </w:tc>
      </w:tr>
      <w:tr w14:paraId="08B2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6BF1617A">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A07</w:t>
            </w:r>
          </w:p>
        </w:tc>
        <w:tc>
          <w:tcPr>
            <w:tcW w:w="824" w:type="pct"/>
            <w:shd w:val="clear" w:color="auto" w:fill="auto"/>
            <w:vAlign w:val="center"/>
          </w:tcPr>
          <w:p w14:paraId="4546E200">
            <w:pPr>
              <w:pStyle w:val="2"/>
              <w:widowControl/>
              <w:shd w:val="clear" w:color="auto" w:fill="FFFFFF"/>
              <w:spacing w:before="366" w:beforeAutospacing="0" w:after="274" w:afterAutospacing="0" w:line="30" w:lineRule="atLeast"/>
              <w:rPr>
                <w:rFonts w:hint="default" w:asciiTheme="minorEastAsia" w:hAnsiTheme="minorEastAsia" w:eastAsiaTheme="minorEastAsia" w:cstheme="minorEastAsia"/>
                <w:b w:val="0"/>
                <w:bCs w:val="0"/>
                <w:color w:val="000000" w:themeColor="text1"/>
                <w:kern w:val="2"/>
                <w:sz w:val="20"/>
                <w:szCs w:val="20"/>
                <w14:textFill>
                  <w14:solidFill>
                    <w14:schemeClr w14:val="tx1"/>
                  </w14:solidFill>
                </w14:textFill>
              </w:rPr>
            </w:pPr>
            <w:r>
              <w:rPr>
                <w:rFonts w:asciiTheme="minorEastAsia" w:hAnsiTheme="minorEastAsia" w:eastAsiaTheme="minorEastAsia" w:cstheme="minorEastAsia"/>
                <w:b w:val="0"/>
                <w:bCs w:val="0"/>
                <w:color w:val="000000" w:themeColor="text1"/>
                <w:kern w:val="2"/>
                <w:sz w:val="20"/>
                <w:szCs w:val="20"/>
                <w14:textFill>
                  <w14:solidFill>
                    <w14:schemeClr w14:val="tx1"/>
                  </w14:solidFill>
                </w14:textFill>
              </w:rPr>
              <w:t>云原生环境内生安全体系研究</w:t>
            </w:r>
          </w:p>
          <w:p w14:paraId="70955E9C">
            <w:pPr>
              <w:spacing w:line="320" w:lineRule="exact"/>
              <w:jc w:val="left"/>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3653" w:type="pct"/>
            <w:shd w:val="clear" w:color="auto" w:fill="auto"/>
            <w:vAlign w:val="center"/>
          </w:tcPr>
          <w:p w14:paraId="4B2198E3">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针对云基础设施攻击面广、配置复杂度高、漏洞修复周期长等挑战，研发以零信任架构为主、运行时防护为辅的安全防护体系，基于策略即代码与eBPF技术的主动防御模型，通过基础设施的深度可见性实现威胁自愈，降低云环境安全运维成本。</w:t>
            </w:r>
          </w:p>
          <w:p w14:paraId="6F21E172">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主要研究内容包括但不限于：</w:t>
            </w:r>
          </w:p>
          <w:p w14:paraId="586DE02B">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（1）运行时防护技术选型：从系统性能损耗、事件捕获粒度、规则更新效率等维度完成技术路线决策；</w:t>
            </w:r>
          </w:p>
          <w:p w14:paraId="1FF36FB5">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w:t>
            </w:r>
            <w:r>
              <w:rPr>
                <w:rFonts w:asciiTheme="minorEastAsia" w:hAnsiTheme="minorEastAsia" w:eastAsiaTheme="minorEastAsia" w:cstheme="minorEastAsia"/>
                <w:color w:val="000000" w:themeColor="text1"/>
                <w:sz w:val="20"/>
                <w:szCs w:val="20"/>
                <w14:textFill>
                  <w14:solidFill>
                    <w14:schemeClr w14:val="tx1"/>
                  </w14:solidFill>
                </w14:textFill>
              </w:rPr>
              <w:t>2</w:t>
            </w:r>
            <w:r>
              <w:rPr>
                <w:rFonts w:hint="eastAsia" w:asciiTheme="minorEastAsia" w:hAnsiTheme="minorEastAsia" w:eastAsiaTheme="minorEastAsia" w:cstheme="minorEastAsia"/>
                <w:color w:val="000000" w:themeColor="text1"/>
                <w:sz w:val="20"/>
                <w:szCs w:val="20"/>
                <w14:textFill>
                  <w14:solidFill>
                    <w14:schemeClr w14:val="tx1"/>
                  </w14:solidFill>
                </w14:textFill>
              </w:rPr>
              <w:t>）自动化响应体系设计：开发策略引擎与Istio服务网格的深度集成方案；</w:t>
            </w:r>
          </w:p>
          <w:p w14:paraId="336FE1E3">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w:t>
            </w:r>
            <w:r>
              <w:rPr>
                <w:rFonts w:asciiTheme="minorEastAsia" w:hAnsiTheme="minorEastAsia" w:eastAsiaTheme="minorEastAsia" w:cstheme="minorEastAsia"/>
                <w:color w:val="000000" w:themeColor="text1"/>
                <w:sz w:val="20"/>
                <w:szCs w:val="20"/>
                <w14:textFill>
                  <w14:solidFill>
                    <w14:schemeClr w14:val="tx1"/>
                  </w14:solidFill>
                </w14:textFill>
              </w:rPr>
              <w:t>3</w:t>
            </w:r>
            <w:r>
              <w:rPr>
                <w:rFonts w:hint="eastAsia" w:asciiTheme="minorEastAsia" w:hAnsiTheme="minorEastAsia" w:eastAsiaTheme="minorEastAsia" w:cstheme="minorEastAsia"/>
                <w:color w:val="000000" w:themeColor="text1"/>
                <w:sz w:val="20"/>
                <w:szCs w:val="20"/>
                <w14:textFill>
                  <w14:solidFill>
                    <w14:schemeClr w14:val="tx1"/>
                  </w14:solidFill>
                </w14:textFill>
              </w:rPr>
              <w:t>）攻击面管理：构建云资产自动化发现系统，集成漏洞扫描能力，实现新部署资源的安全基线检测。</w:t>
            </w:r>
          </w:p>
        </w:tc>
      </w:tr>
      <w:tr w14:paraId="5C6A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261A8306">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A08</w:t>
            </w:r>
          </w:p>
        </w:tc>
        <w:tc>
          <w:tcPr>
            <w:tcW w:w="824" w:type="pct"/>
            <w:shd w:val="clear" w:color="auto" w:fill="auto"/>
            <w:vAlign w:val="center"/>
          </w:tcPr>
          <w:p w14:paraId="23E4550C">
            <w:pPr>
              <w:pStyle w:val="2"/>
              <w:widowControl/>
              <w:shd w:val="clear" w:color="auto" w:fill="FFFFFF"/>
              <w:spacing w:before="366" w:beforeAutospacing="0" w:after="274" w:afterAutospacing="0" w:line="30" w:lineRule="atLeast"/>
              <w:rPr>
                <w:rFonts w:hint="default" w:asciiTheme="minorEastAsia" w:hAnsiTheme="minorEastAsia" w:eastAsiaTheme="minorEastAsia" w:cstheme="minorEastAsia"/>
                <w:b w:val="0"/>
                <w:bCs w:val="0"/>
                <w:color w:val="000000" w:themeColor="text1"/>
                <w:kern w:val="2"/>
                <w:sz w:val="20"/>
                <w:szCs w:val="20"/>
                <w14:textFill>
                  <w14:solidFill>
                    <w14:schemeClr w14:val="tx1"/>
                  </w14:solidFill>
                </w14:textFill>
              </w:rPr>
            </w:pPr>
            <w:r>
              <w:rPr>
                <w:rFonts w:asciiTheme="minorEastAsia" w:hAnsiTheme="minorEastAsia" w:eastAsiaTheme="minorEastAsia" w:cstheme="minorEastAsia"/>
                <w:b w:val="0"/>
                <w:bCs w:val="0"/>
                <w:color w:val="000000" w:themeColor="text1"/>
                <w:kern w:val="2"/>
                <w:sz w:val="20"/>
                <w:szCs w:val="20"/>
                <w14:textFill>
                  <w14:solidFill>
                    <w14:schemeClr w14:val="tx1"/>
                  </w14:solidFill>
                </w14:textFill>
              </w:rPr>
              <w:t>物联网边缘设备接入安全体系研究</w:t>
            </w:r>
          </w:p>
        </w:tc>
        <w:tc>
          <w:tcPr>
            <w:tcW w:w="3653" w:type="pct"/>
            <w:shd w:val="clear" w:color="auto" w:fill="auto"/>
            <w:vAlign w:val="center"/>
          </w:tcPr>
          <w:p w14:paraId="3FCB6485">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在物联网（IoT）领域，特别是涉及关键基础设施和环境监测（如地震预警、气象观测、能源管网监控、电力设施监测等）的场景中，广泛部署着大量专业化的数据采集终端。边缘设备的安全接入成为物联网体系的核心风险点。传统物联网设备普遍存在安全防护能力薄弱、改造复杂度高、异构环境适配性差等问题，易因密码体系漏洞、物理入侵或传输链路风险导致数据泄露、设备劫持等安全事件。</w:t>
            </w:r>
          </w:p>
          <w:p w14:paraId="6BAD90D0">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针对物联网边缘设备接入场景，研究安全接入密码技术，通过低侵入式改造架构与多维度防护机制，解决设备身份认证、传输链路安全、物理环境威胁等关键问题，构建适应多样化部署环境的边缘安全防护体系。</w:t>
            </w:r>
          </w:p>
          <w:p w14:paraId="2302E82C">
            <w:pPr>
              <w:spacing w:line="300" w:lineRule="exact"/>
              <w:ind w:firstLine="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主要研究内容包括但不限于：</w:t>
            </w:r>
          </w:p>
          <w:p w14:paraId="20D403C0">
            <w:pPr>
              <w:spacing w:line="300" w:lineRule="exact"/>
              <w:ind w:firstLine="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（1）透明安全加固技术：无缝适配主流物联网协议与安全通信协议，应用无感知的透明传输加密，不改变原有网络的任何结构和配置，实现对存量设备进行非侵入式安全改造，降低传统系统升级门槛；</w:t>
            </w:r>
          </w:p>
          <w:p w14:paraId="6C368D07">
            <w:pPr>
              <w:spacing w:line="300" w:lineRule="exact"/>
              <w:ind w:firstLine="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（2）密码安全增强技术：集成国密算法（SM2/SM3/SM4）与动态密钥协商机制，实现设备身份认证、数据加密传输的全链路密码防护，抵御中间人攻击、固件篡改等风险；</w:t>
            </w:r>
          </w:p>
          <w:p w14:paraId="71FAB1FF">
            <w:pPr>
              <w:spacing w:line="300" w:lineRule="exact"/>
              <w:ind w:firstLine="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（3）自动探测接入安全风险：通过网络流量分析，探测潜在安全风险，例如明文数据传输、弱密码算法等。</w:t>
            </w:r>
          </w:p>
        </w:tc>
      </w:tr>
      <w:tr w14:paraId="7D56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005668C1">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A09</w:t>
            </w:r>
          </w:p>
        </w:tc>
        <w:tc>
          <w:tcPr>
            <w:tcW w:w="824" w:type="pct"/>
            <w:shd w:val="clear" w:color="auto" w:fill="auto"/>
            <w:vAlign w:val="center"/>
          </w:tcPr>
          <w:p w14:paraId="2369127C">
            <w:pPr>
              <w:pStyle w:val="9"/>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内部威胁安全防护技术研究</w:t>
            </w:r>
          </w:p>
        </w:tc>
        <w:tc>
          <w:tcPr>
            <w:tcW w:w="3653" w:type="pct"/>
            <w:shd w:val="clear" w:color="auto" w:fill="auto"/>
            <w:vAlign w:val="center"/>
          </w:tcPr>
          <w:p w14:paraId="365D7840">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内部威胁是当下数据泄露最主要的原因。《全球内部威胁成本报告》显示，2024年较过去两年相比，内部威胁事件的总数增加了44%。56%事件的发生根本原因是内部人员的疏忽，这其中用权限账号盗窃近两年安全事件的18%。由此可见，特权访问管理不当已经成为内部威胁带来的数据泄露的最主要原因。</w:t>
            </w:r>
          </w:p>
          <w:p w14:paraId="1C9089D0">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主要研究内容包括但不限于：</w:t>
            </w:r>
          </w:p>
          <w:p w14:paraId="61A60B9F">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（1）研究实现特权账号的全生命周期管理，实现特权账号的最小化权限策略，并持续监控与治理特权账号威胁，进行特权行为审计与威胁分析；</w:t>
            </w:r>
          </w:p>
          <w:p w14:paraId="3E7FC817">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（2）研究基于国密算法的密码保险箱的特权账号存储技术；</w:t>
            </w:r>
          </w:p>
          <w:p w14:paraId="6C63B7AA">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（3）基于安全统一网关的特权会话管控技术和非侵入式的大数据分析应用内嵌特权账号管理技术；</w:t>
            </w:r>
          </w:p>
          <w:p w14:paraId="7819CB25">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（4）研制出可信的特权安全访问系统，帮助企业系统化的落地并实现各种业务场景下特权访问的统一管理、规范使用与全局监控。</w:t>
            </w:r>
          </w:p>
        </w:tc>
      </w:tr>
      <w:tr w14:paraId="61B1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13E871B7">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A10</w:t>
            </w:r>
          </w:p>
        </w:tc>
        <w:tc>
          <w:tcPr>
            <w:tcW w:w="824" w:type="pct"/>
            <w:shd w:val="clear" w:color="auto" w:fill="auto"/>
            <w:vAlign w:val="center"/>
          </w:tcPr>
          <w:p w14:paraId="524C039A">
            <w:pPr>
              <w:pStyle w:val="9"/>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基于动态分析与机器学习的API接口业务逻辑漏洞检测技术研究</w:t>
            </w:r>
          </w:p>
        </w:tc>
        <w:tc>
          <w:tcPr>
            <w:tcW w:w="3653" w:type="pct"/>
            <w:shd w:val="clear" w:color="auto" w:fill="auto"/>
            <w:vAlign w:val="center"/>
          </w:tcPr>
          <w:p w14:paraId="27AADAF9">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随着微服务架构和云计算的普及，API已成为现代软件系统的核心组件，然而，API接口的复杂性和开放性也使其成为攻击者的主要目标，尤其是业务逻辑漏洞检测也成为重点难点问题。因此，开发一种针对API接口业务逻辑漏洞的智能检测技术，具有重要的理论价值和实际意义。</w:t>
            </w:r>
          </w:p>
          <w:p w14:paraId="4A35D6B4">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本项目主要研究内容包括不限于以下：</w:t>
            </w:r>
          </w:p>
          <w:p w14:paraId="40FCDCDA">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(1)研究API接口业务逻辑漏洞的常见类型及其特征，构建检测所需指标识别引擎，针对特征编写检测规则和异常行为模型；</w:t>
            </w:r>
          </w:p>
          <w:p w14:paraId="786044B8">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(2)研究API接口调用行为的动态捕获机制，实时监控请求与响应数据，开发数据接口异常调用/访问行为的检测方法；</w:t>
            </w:r>
          </w:p>
          <w:p w14:paraId="6D7A44FC">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（3）研究基于访问实体、访问时间、访问资产、传输数据属性等多维度因素，设计分析规则，针对越权访问、数据篡改、逻辑绕过等安全事件，形成检测模型或规则不少于10种；</w:t>
            </w:r>
          </w:p>
        </w:tc>
      </w:tr>
      <w:tr w14:paraId="26D4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6A02595D">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A11</w:t>
            </w:r>
          </w:p>
        </w:tc>
        <w:tc>
          <w:tcPr>
            <w:tcW w:w="824" w:type="pct"/>
            <w:shd w:val="clear" w:color="auto" w:fill="auto"/>
            <w:vAlign w:val="center"/>
          </w:tcPr>
          <w:p w14:paraId="1AA2F454">
            <w:pPr>
              <w:pStyle w:val="9"/>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特权会话访问控制策略及审计关键技术研究</w:t>
            </w:r>
          </w:p>
        </w:tc>
        <w:tc>
          <w:tcPr>
            <w:tcW w:w="3653" w:type="pct"/>
            <w:shd w:val="clear" w:color="auto" w:fill="auto"/>
            <w:vAlign w:val="center"/>
          </w:tcPr>
          <w:p w14:paraId="22B1C481">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堡垒机提供的脚本运维功能目前仅能通过人工审核的方式来确保脚本运维安全，难以有效识别shell和python脚本的执行意图，并检测出其中的安全风险，可能导致拦截失效的问题。同时，运维过程中执行的命令通常采用字符串正则匹配的方式进行分析，容易绕过，风险告警准确率低。</w:t>
            </w:r>
          </w:p>
          <w:p w14:paraId="5D42A88E">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本项目主要研究内容包括不限于以下：</w:t>
            </w:r>
          </w:p>
          <w:p w14:paraId="7577D049">
            <w:pPr>
              <w:pStyle w:val="5"/>
              <w:spacing w:after="0"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1）研究基于AI的运维指令、脚本检测和拦截技术。运维分为命令运维与脚本运维。当用户在一个运维会话中执行命令或使用脚本运维时，需要基于AI技术对用户输入的命令进行风险分析，识别出其执行意图以及可能存在的风险，并生成相应告警；</w:t>
            </w:r>
          </w:p>
          <w:p w14:paraId="7C62DDD0">
            <w:pPr>
              <w:pStyle w:val="5"/>
              <w:spacing w:after="0"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2）研究基于AI的运维会话风险告警技术。基于AI技术对用户的历史运维会话数据进行分析，精准识别其中可能存在风险的历史会话，并生成告警。运维数据主要包括用户使用堡垒机期间执行过的命令，上传过的脚本。生成的告警应能对应到具体用户、受影响的资产、操作时间。</w:t>
            </w:r>
          </w:p>
        </w:tc>
      </w:tr>
      <w:tr w14:paraId="7D01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23" w:type="pct"/>
            <w:shd w:val="clear" w:color="auto" w:fill="auto"/>
            <w:vAlign w:val="center"/>
          </w:tcPr>
          <w:p w14:paraId="007D66BC">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A12</w:t>
            </w:r>
          </w:p>
        </w:tc>
        <w:tc>
          <w:tcPr>
            <w:tcW w:w="824" w:type="pct"/>
            <w:shd w:val="clear" w:color="auto" w:fill="auto"/>
            <w:vAlign w:val="center"/>
          </w:tcPr>
          <w:p w14:paraId="488C2378">
            <w:pPr>
              <w:pStyle w:val="9"/>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大模型运行态数据泄露防护及关键技术研究</w:t>
            </w:r>
          </w:p>
        </w:tc>
        <w:tc>
          <w:tcPr>
            <w:tcW w:w="3653" w:type="pct"/>
            <w:shd w:val="clear" w:color="auto" w:fill="auto"/>
            <w:vAlign w:val="center"/>
          </w:tcPr>
          <w:p w14:paraId="31843208">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随着大模型应用的爆发式普及，随之带来的安全风险也愈发严重，安全风险范围包扩：大模型基础设施安全，环境及供应链安全，运行时的数据安全、内容安全、大模型攻击注入等各类风险。大模型应用对应的攻击手法较传统应用也有极大的区别，当前的传统检测手段和防护措施，也无法应对大模型环境下的检测要求。</w:t>
            </w:r>
          </w:p>
          <w:p w14:paraId="18676A85">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本项目主要研究内容包括不限于以下：</w:t>
            </w:r>
          </w:p>
          <w:p w14:paraId="47CA4E0A">
            <w:pPr>
              <w:spacing w:line="300" w:lineRule="exact"/>
              <w:ind w:firstLine="400" w:firstLineChars="200"/>
              <w:jc w:val="left"/>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（1）本研究主要聚焦在大模型运行态风险检测及发现；</w:t>
            </w:r>
          </w:p>
          <w:p w14:paraId="14F23FA7">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（2）关注AI Agent场景及RAG应用场景下的数据泄露风险研究；</w:t>
            </w:r>
          </w:p>
          <w:p w14:paraId="5A8B186E">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（3）针对数据泄露的方法，检测及防护手段及进行深入研究及分析。</w:t>
            </w:r>
          </w:p>
        </w:tc>
      </w:tr>
      <w:tr w14:paraId="7ED0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3" w:type="pct"/>
            <w:shd w:val="clear" w:color="auto" w:fill="auto"/>
            <w:vAlign w:val="center"/>
          </w:tcPr>
          <w:p w14:paraId="2C26B375">
            <w:pPr>
              <w:spacing w:line="320" w:lineRule="exact"/>
              <w:ind w:firstLine="22"/>
              <w:jc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A13</w:t>
            </w:r>
          </w:p>
        </w:tc>
        <w:tc>
          <w:tcPr>
            <w:tcW w:w="824" w:type="pct"/>
            <w:shd w:val="clear" w:color="auto" w:fill="auto"/>
            <w:vAlign w:val="center"/>
          </w:tcPr>
          <w:p w14:paraId="594FF112">
            <w:pPr>
              <w:pStyle w:val="9"/>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AI安全漏洞检测关键技术研究</w:t>
            </w:r>
          </w:p>
        </w:tc>
        <w:tc>
          <w:tcPr>
            <w:tcW w:w="3653" w:type="pct"/>
            <w:shd w:val="clear" w:color="auto" w:fill="auto"/>
            <w:vAlign w:val="center"/>
          </w:tcPr>
          <w:p w14:paraId="27611F85">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AI技术加快演进，但由算法黑盒、不可解释性等内生问题导致的AI安全漏洞使得AI系统容易受到对抗样本攻击，影响运行安全。我国高度重视AI安全问题，先后出台多个人工智能安全治理文件；产业界也急需适用于各类人工智能应用的成熟安全产品。故此，研究AI安全检测技术以提前发现模型安全漏洞、科学评估安全威胁和运行风险，有助于大大提升AI系统的运行鲁棒性和面向安全威胁的应对能力。</w:t>
            </w:r>
          </w:p>
          <w:p w14:paraId="03C6D607">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本项目主要研究内容包括不限于以下：</w:t>
            </w:r>
          </w:p>
          <w:p w14:paraId="71EC71A9">
            <w:pPr>
              <w:pStyle w:val="5"/>
              <w:spacing w:after="0"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（1）AI对抗攻击漏洞检测设计报告，包含高迁移性对抗攻击技术，可攻击人脸识别、交通标志识别等场景的AI视觉目标模型；</w:t>
            </w:r>
          </w:p>
          <w:p w14:paraId="762AE1B1">
            <w:pPr>
              <w:pStyle w:val="5"/>
              <w:spacing w:after="0"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（2）AI模型安全缺陷分析报告，包含误分类性、感知隐蔽性和扰动鲁棒性等项评估指标；</w:t>
            </w:r>
          </w:p>
          <w:p w14:paraId="214CA67C">
            <w:pPr>
              <w:spacing w:line="300" w:lineRule="exact"/>
              <w:ind w:firstLine="400" w:firstLineChars="20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（3）AI安全漏洞检测平台，支持人脸识别、交通标志识别等应用场景，支持6个针对AI视觉应用场景模型的漏洞检测。</w:t>
            </w:r>
          </w:p>
        </w:tc>
      </w:tr>
    </w:tbl>
    <w:p w14:paraId="3146498A">
      <w:pPr>
        <w:widowControl/>
        <w:spacing w:line="500" w:lineRule="exact"/>
        <w:ind w:firstLine="560" w:firstLineChars="200"/>
        <w:contextualSpacing/>
        <w:jc w:val="left"/>
        <w:outlineLvl w:val="1"/>
        <w:rPr>
          <w:rFonts w:ascii="Times New Roman" w:hAnsi="Times New Roman" w:eastAsia="微软雅黑" w:cs="Times New Roman"/>
          <w:b/>
          <w:bCs/>
          <w:iCs/>
          <w:color w:val="000000" w:themeColor="text1"/>
          <w:kern w:val="0"/>
          <w:sz w:val="28"/>
          <w14:textFill>
            <w14:solidFill>
              <w14:schemeClr w14:val="tx1"/>
            </w14:solidFill>
          </w14:textFill>
        </w:rPr>
      </w:pPr>
    </w:p>
    <w:p w14:paraId="489383C3">
      <w:pPr>
        <w:widowControl/>
        <w:spacing w:line="500" w:lineRule="exact"/>
        <w:ind w:firstLine="560" w:firstLineChars="200"/>
        <w:contextualSpacing/>
        <w:jc w:val="left"/>
        <w:outlineLvl w:val="1"/>
        <w:rPr>
          <w:rFonts w:ascii="Times New Roman" w:hAnsi="Times New Roman" w:eastAsia="微软雅黑" w:cs="Times New Roman"/>
          <w:b/>
          <w:bCs/>
          <w:iCs/>
          <w:color w:val="000000" w:themeColor="text1"/>
          <w:kern w:val="0"/>
          <w:sz w:val="28"/>
          <w14:textFill>
            <w14:solidFill>
              <w14:schemeClr w14:val="tx1"/>
            </w14:solidFill>
          </w14:textFill>
        </w:rPr>
      </w:pPr>
      <w:r>
        <w:rPr>
          <w:rFonts w:hint="eastAsia" w:ascii="Times New Roman" w:hAnsi="Times New Roman" w:eastAsia="微软雅黑" w:cs="Times New Roman"/>
          <w:b/>
          <w:bCs/>
          <w:iCs/>
          <w:color w:val="000000" w:themeColor="text1"/>
          <w:kern w:val="0"/>
          <w:sz w:val="28"/>
          <w14:textFill>
            <w14:solidFill>
              <w14:schemeClr w14:val="tx1"/>
            </w14:solidFill>
          </w14:textFill>
        </w:rPr>
        <w:t>二、申报条件和要求</w:t>
      </w:r>
    </w:p>
    <w:p w14:paraId="5E32B3B8">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1. 团队成员在选定的研究课题方向有较好的技术储备，包括与申报课题研究内容相关的研究成果、教材、论文、专利、获奖等。</w:t>
      </w:r>
    </w:p>
    <w:p w14:paraId="5A25788D">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2. 团队组成合理，分工明确，数量不少于3人。</w:t>
      </w:r>
      <w:r>
        <w:rPr>
          <w:rFonts w:ascii="宋体" w:hAnsi="宋体" w:eastAsia="宋体"/>
          <w:color w:val="000000" w:themeColor="text1"/>
          <w:kern w:val="0"/>
          <w:sz w:val="24"/>
          <w:szCs w:val="24"/>
          <w14:textFill>
            <w14:solidFill>
              <w14:schemeClr w14:val="tx1"/>
            </w14:solidFill>
          </w14:textFill>
        </w:rPr>
        <w:t>原则上</w:t>
      </w:r>
      <w:r>
        <w:rPr>
          <w:rFonts w:hint="eastAsia" w:ascii="宋体" w:hAnsi="宋体" w:eastAsia="宋体"/>
          <w:color w:val="000000" w:themeColor="text1"/>
          <w:kern w:val="0"/>
          <w:sz w:val="24"/>
          <w:szCs w:val="24"/>
          <w14:textFill>
            <w14:solidFill>
              <w14:schemeClr w14:val="tx1"/>
            </w14:solidFill>
          </w14:textFill>
        </w:rPr>
        <w:t>申请人</w:t>
      </w:r>
      <w:r>
        <w:rPr>
          <w:rFonts w:ascii="宋体" w:hAnsi="宋体" w:eastAsia="宋体"/>
          <w:color w:val="000000" w:themeColor="text1"/>
          <w:kern w:val="0"/>
          <w:sz w:val="24"/>
          <w:szCs w:val="24"/>
          <w14:textFill>
            <w14:solidFill>
              <w14:schemeClr w14:val="tx1"/>
            </w14:solidFill>
          </w14:textFill>
        </w:rPr>
        <w:t>需具备</w:t>
      </w:r>
      <w:r>
        <w:rPr>
          <w:rFonts w:hint="eastAsia" w:ascii="宋体" w:hAnsi="宋体" w:eastAsia="宋体"/>
          <w:color w:val="000000" w:themeColor="text1"/>
          <w:kern w:val="0"/>
          <w:sz w:val="24"/>
          <w:szCs w:val="24"/>
          <w14:textFill>
            <w14:solidFill>
              <w14:schemeClr w14:val="tx1"/>
            </w14:solidFill>
          </w14:textFill>
        </w:rPr>
        <w:t>中级以上职称。</w:t>
      </w:r>
    </w:p>
    <w:p w14:paraId="6A8EA9D6">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3. 优先支持已经设立网络空间安全、大数据</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云计算、人工智能</w:t>
      </w:r>
      <w:r>
        <w:rPr>
          <w:rFonts w:hint="eastAsia" w:ascii="宋体" w:hAnsi="宋体" w:eastAsia="宋体"/>
          <w:color w:val="000000" w:themeColor="text1"/>
          <w:kern w:val="0"/>
          <w:sz w:val="24"/>
          <w:szCs w:val="24"/>
          <w14:textFill>
            <w14:solidFill>
              <w14:schemeClr w14:val="tx1"/>
            </w14:solidFill>
          </w14:textFill>
        </w:rPr>
        <w:t>相关专业或者已经成立相关研究中心的院校。</w:t>
      </w:r>
    </w:p>
    <w:p w14:paraId="7E16772A">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4. 优先支持研究内容有创造性、前瞻性和实用性，有商业化前景的课题。</w:t>
      </w:r>
    </w:p>
    <w:p w14:paraId="3EE69333">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5</w:t>
      </w:r>
      <w:r>
        <w:rPr>
          <w:rFonts w:hint="eastAsia" w:ascii="宋体" w:hAnsi="宋体" w:eastAsia="宋体"/>
          <w:color w:val="000000" w:themeColor="text1"/>
          <w:kern w:val="0"/>
          <w:sz w:val="24"/>
          <w:szCs w:val="24"/>
          <w14:textFill>
            <w14:solidFill>
              <w14:schemeClr w14:val="tx1"/>
            </w14:solidFill>
          </w14:textFill>
        </w:rPr>
        <w:t>. 优先支持有明确研究成果，成果有应用价值，可复制、可推广的课题。</w:t>
      </w:r>
    </w:p>
    <w:p w14:paraId="2EA9D8A1">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6</w:t>
      </w:r>
      <w:r>
        <w:rPr>
          <w:rFonts w:hint="eastAsia" w:ascii="宋体" w:hAnsi="宋体" w:eastAsia="宋体"/>
          <w:color w:val="000000" w:themeColor="text1"/>
          <w:kern w:val="0"/>
          <w:sz w:val="24"/>
          <w:szCs w:val="24"/>
          <w14:textFill>
            <w14:solidFill>
              <w14:schemeClr w14:val="tx1"/>
            </w14:solidFill>
          </w14:textFill>
        </w:rPr>
        <w:t>. 优先支持研究方向明确，研究内容详实，研究方案完整可行的课题。</w:t>
      </w:r>
    </w:p>
    <w:p w14:paraId="44E86ECE">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7</w:t>
      </w: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 xml:space="preserve"> </w:t>
      </w:r>
      <w:r>
        <w:rPr>
          <w:rFonts w:hint="eastAsia" w:ascii="宋体" w:hAnsi="宋体" w:eastAsia="宋体"/>
          <w:color w:val="000000" w:themeColor="text1"/>
          <w:kern w:val="0"/>
          <w:sz w:val="24"/>
          <w:szCs w:val="24"/>
          <w14:textFill>
            <w14:solidFill>
              <w14:schemeClr w14:val="tx1"/>
            </w14:solidFill>
          </w14:textFill>
        </w:rPr>
        <w:t>申请人应客观、真实地填写申请书，没有知识产权争议，遵守国家有关知识产权法规。在课题申请</w:t>
      </w:r>
      <w:r>
        <w:rPr>
          <w:rFonts w:ascii="宋体" w:hAnsi="宋体" w:eastAsia="宋体"/>
          <w:color w:val="000000" w:themeColor="text1"/>
          <w:kern w:val="0"/>
          <w:sz w:val="24"/>
          <w:szCs w:val="24"/>
          <w14:textFill>
            <w14:solidFill>
              <w14:schemeClr w14:val="tx1"/>
            </w14:solidFill>
          </w14:textFill>
        </w:rPr>
        <w:t>书</w:t>
      </w:r>
      <w:r>
        <w:rPr>
          <w:rFonts w:hint="eastAsia" w:ascii="宋体" w:hAnsi="宋体" w:eastAsia="宋体"/>
          <w:color w:val="000000" w:themeColor="text1"/>
          <w:kern w:val="0"/>
          <w:sz w:val="24"/>
          <w:szCs w:val="24"/>
          <w14:textFill>
            <w14:solidFill>
              <w14:schemeClr w14:val="tx1"/>
            </w14:solidFill>
          </w14:textFill>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23EFB845">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8</w:t>
      </w: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 xml:space="preserve"> 资助课题获得的知识产权由</w:t>
      </w:r>
      <w:r>
        <w:rPr>
          <w:rFonts w:hint="eastAsia" w:ascii="宋体" w:hAnsi="宋体" w:eastAsia="宋体"/>
          <w:color w:val="000000" w:themeColor="text1"/>
          <w:kern w:val="0"/>
          <w:sz w:val="24"/>
          <w:szCs w:val="24"/>
          <w14:textFill>
            <w14:solidFill>
              <w14:schemeClr w14:val="tx1"/>
            </w14:solidFill>
          </w14:textFill>
        </w:rPr>
        <w:t>资助方</w:t>
      </w:r>
      <w:r>
        <w:rPr>
          <w:rFonts w:ascii="宋体" w:hAnsi="宋体" w:eastAsia="宋体"/>
          <w:color w:val="000000" w:themeColor="text1"/>
          <w:kern w:val="0"/>
          <w:sz w:val="24"/>
          <w:szCs w:val="24"/>
          <w14:textFill>
            <w14:solidFill>
              <w14:schemeClr w14:val="tx1"/>
            </w14:solidFill>
          </w14:textFill>
        </w:rPr>
        <w:t>和</w:t>
      </w:r>
      <w:r>
        <w:rPr>
          <w:rFonts w:hint="eastAsia" w:ascii="宋体" w:hAnsi="宋体" w:eastAsia="宋体"/>
          <w:color w:val="000000" w:themeColor="text1"/>
          <w:kern w:val="0"/>
          <w:sz w:val="24"/>
          <w:szCs w:val="24"/>
          <w14:textFill>
            <w14:solidFill>
              <w14:schemeClr w14:val="tx1"/>
            </w14:solidFill>
          </w14:textFill>
        </w:rPr>
        <w:t>课题</w:t>
      </w:r>
      <w:r>
        <w:rPr>
          <w:rFonts w:ascii="宋体" w:hAnsi="宋体" w:eastAsia="宋体"/>
          <w:color w:val="000000" w:themeColor="text1"/>
          <w:kern w:val="0"/>
          <w:sz w:val="24"/>
          <w:szCs w:val="24"/>
          <w14:textFill>
            <w14:solidFill>
              <w14:schemeClr w14:val="tx1"/>
            </w14:solidFill>
          </w14:textFill>
        </w:rPr>
        <w:t>承担单位共同所有</w:t>
      </w:r>
      <w:r>
        <w:rPr>
          <w:rFonts w:hint="eastAsia" w:ascii="宋体" w:hAnsi="宋体" w:eastAsia="宋体"/>
          <w:color w:val="000000" w:themeColor="text1"/>
          <w:kern w:val="0"/>
          <w:sz w:val="24"/>
          <w:szCs w:val="24"/>
          <w14:textFill>
            <w14:solidFill>
              <w14:schemeClr w14:val="tx1"/>
            </w14:solidFill>
          </w14:textFill>
        </w:rPr>
        <w:t>。</w:t>
      </w:r>
    </w:p>
    <w:p w14:paraId="3E7CE3F7">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9</w:t>
      </w: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 xml:space="preserve"> </w:t>
      </w:r>
      <w:r>
        <w:rPr>
          <w:rFonts w:hint="eastAsia" w:ascii="宋体" w:hAnsi="宋体" w:eastAsia="宋体"/>
          <w:color w:val="000000" w:themeColor="text1"/>
          <w:kern w:val="0"/>
          <w:sz w:val="24"/>
          <w:szCs w:val="24"/>
          <w14:textFill>
            <w14:solidFill>
              <w14:schemeClr w14:val="tx1"/>
            </w14:solidFill>
          </w14:textFill>
        </w:rPr>
        <w:t>课题组需具备可独立支配的课题研究基础软硬件条件。</w:t>
      </w:r>
      <w:r>
        <w:rPr>
          <w:rFonts w:ascii="宋体" w:hAnsi="宋体" w:eastAsia="宋体"/>
          <w:color w:val="000000" w:themeColor="text1"/>
          <w:kern w:val="0"/>
          <w:sz w:val="24"/>
          <w:szCs w:val="24"/>
          <w14:textFill>
            <w14:solidFill>
              <w14:schemeClr w14:val="tx1"/>
            </w14:solidFill>
          </w14:textFill>
        </w:rPr>
        <w:t xml:space="preserve"> </w:t>
      </w:r>
    </w:p>
    <w:p w14:paraId="677094E1">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p>
    <w:p w14:paraId="0511E6F0">
      <w:pPr>
        <w:widowControl/>
        <w:spacing w:line="500" w:lineRule="exact"/>
        <w:ind w:firstLine="560" w:firstLineChars="200"/>
        <w:contextualSpacing/>
        <w:jc w:val="left"/>
        <w:outlineLvl w:val="1"/>
        <w:rPr>
          <w:rFonts w:ascii="Times New Roman" w:hAnsi="Times New Roman" w:eastAsia="微软雅黑" w:cs="Times New Roman"/>
          <w:b/>
          <w:bCs/>
          <w:iCs/>
          <w:color w:val="000000" w:themeColor="text1"/>
          <w:kern w:val="0"/>
          <w:sz w:val="28"/>
          <w14:textFill>
            <w14:solidFill>
              <w14:schemeClr w14:val="tx1"/>
            </w14:solidFill>
          </w14:textFill>
        </w:rPr>
      </w:pPr>
      <w:r>
        <w:rPr>
          <w:rFonts w:hint="eastAsia" w:ascii="Times New Roman" w:hAnsi="Times New Roman" w:eastAsia="微软雅黑" w:cs="Times New Roman"/>
          <w:b/>
          <w:bCs/>
          <w:iCs/>
          <w:color w:val="000000" w:themeColor="text1"/>
          <w:kern w:val="0"/>
          <w:sz w:val="28"/>
          <w14:textFill>
            <w14:solidFill>
              <w14:schemeClr w14:val="tx1"/>
            </w14:solidFill>
          </w14:textFill>
        </w:rPr>
        <w:t>三、资源及服务</w:t>
      </w:r>
    </w:p>
    <w:p w14:paraId="1AD5342C">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针对入选合作院校，基金将提供完善的资源和服务体系，以保证院校顺利开展合作课题，并为院校在网络空间安全、大数据</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云计算、人工智能</w:t>
      </w:r>
      <w:r>
        <w:rPr>
          <w:rFonts w:hint="eastAsia" w:ascii="宋体" w:hAnsi="宋体" w:eastAsia="宋体"/>
          <w:color w:val="000000" w:themeColor="text1"/>
          <w:kern w:val="0"/>
          <w:sz w:val="24"/>
          <w:szCs w:val="24"/>
          <w14:textFill>
            <w14:solidFill>
              <w14:schemeClr w14:val="tx1"/>
            </w14:solidFill>
          </w14:textFill>
        </w:rPr>
        <w:t>方向的科研、教学和人才培养提供长期有效的支持。</w:t>
      </w:r>
    </w:p>
    <w:p w14:paraId="003F2B32">
      <w:pPr>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1.</w:t>
      </w:r>
      <w:r>
        <w:rPr>
          <w:rFonts w:ascii="宋体" w:hAnsi="宋体" w:eastAsia="宋体"/>
          <w:color w:val="000000" w:themeColor="text1"/>
          <w:kern w:val="0"/>
          <w:sz w:val="24"/>
          <w:szCs w:val="24"/>
          <w14:textFill>
            <w14:solidFill>
              <w14:schemeClr w14:val="tx1"/>
            </w14:solidFill>
          </w14:textFill>
        </w:rPr>
        <w:t>“</w:t>
      </w:r>
      <w:r>
        <w:rPr>
          <w:rFonts w:hint="eastAsia" w:ascii="宋体" w:hAnsi="宋体" w:eastAsia="宋体"/>
          <w:color w:val="000000" w:themeColor="text1"/>
          <w:kern w:val="0"/>
          <w:sz w:val="24"/>
          <w:szCs w:val="24"/>
          <w14:textFill>
            <w14:solidFill>
              <w14:schemeClr w14:val="tx1"/>
            </w14:solidFill>
          </w14:textFill>
        </w:rPr>
        <w:t>AI+网络安全治理技术专项”为每个立项课题提供对应的研究经费及科研软硬件平台支持，为申报团队提供创新项目选题指导，并根据需求开展服务校方等工作。</w:t>
      </w:r>
    </w:p>
    <w:p w14:paraId="1268BAEA">
      <w:pPr>
        <w:widowControl/>
        <w:spacing w:line="500" w:lineRule="exact"/>
        <w:ind w:firstLine="480" w:firstLineChars="20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基金课题</w:t>
      </w:r>
      <w:r>
        <w:rPr>
          <w:rFonts w:hint="eastAsia" w:ascii="宋体" w:hAnsi="宋体" w:eastAsia="宋体"/>
          <w:color w:val="000000" w:themeColor="text1"/>
          <w:kern w:val="0"/>
          <w:sz w:val="24"/>
          <w:szCs w:val="24"/>
          <w14:textFill>
            <w14:solidFill>
              <w14:schemeClr w14:val="tx1"/>
            </w14:solidFill>
          </w14:textFill>
        </w:rPr>
        <w:t>发起单位将辅助、联合申报院校申报新的科研课题，提供项目咨询服务和技术支持，辅助科研成果的快速产品化及解决方案的包装。</w:t>
      </w:r>
    </w:p>
    <w:p w14:paraId="1EC18BB8">
      <w:pPr>
        <w:spacing w:before="156" w:beforeLines="50" w:line="460" w:lineRule="exact"/>
        <w:ind w:firstLine="482"/>
        <w:jc w:val="center"/>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表二 提供给课题研究的资源说明</w:t>
      </w:r>
    </w:p>
    <w:tbl>
      <w:tblPr>
        <w:tblStyle w:val="12"/>
        <w:tblpPr w:leftFromText="180" w:rightFromText="180" w:vertAnchor="text" w:tblpX="10427" w:tblpY="14"/>
        <w:tblOverlap w:val="never"/>
        <w:tblW w:w="1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tblGrid>
      <w:tr w14:paraId="3163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08" w:type="dxa"/>
          </w:tcPr>
          <w:p w14:paraId="0219C33A">
            <w:pPr>
              <w:ind w:firstLine="402"/>
              <w:jc w:val="center"/>
              <w:rPr>
                <w:b/>
                <w:color w:val="000000" w:themeColor="text1"/>
                <w:sz w:val="20"/>
                <w14:textFill>
                  <w14:solidFill>
                    <w14:schemeClr w14:val="tx1"/>
                  </w14:solidFill>
                </w14:textFill>
              </w:rPr>
            </w:pPr>
          </w:p>
        </w:tc>
      </w:tr>
    </w:tbl>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01"/>
        <w:gridCol w:w="6378"/>
      </w:tblGrid>
      <w:tr w14:paraId="7F1D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35" w:type="dxa"/>
            <w:shd w:val="clear" w:color="000000" w:fill="C0C0C0"/>
            <w:vAlign w:val="center"/>
          </w:tcPr>
          <w:p w14:paraId="45386F52">
            <w:pPr>
              <w:widowControl/>
              <w:jc w:val="center"/>
              <w:textAlignment w:val="center"/>
              <w:rPr>
                <w:rFonts w:ascii="宋体" w:hAnsi="宋体" w:eastAsia="宋体"/>
                <w:b/>
                <w:bCs/>
                <w:color w:val="000000" w:themeColor="text1"/>
                <w:kern w:val="0"/>
                <w:szCs w:val="21"/>
                <w14:textFill>
                  <w14:solidFill>
                    <w14:schemeClr w14:val="tx1"/>
                  </w14:solidFill>
                </w14:textFill>
              </w:rPr>
            </w:pPr>
            <w:r>
              <w:rPr>
                <w:rFonts w:hint="eastAsia" w:ascii="宋体" w:hAnsi="宋体" w:eastAsia="宋体"/>
                <w:b/>
                <w:bCs/>
                <w:color w:val="000000" w:themeColor="text1"/>
                <w:kern w:val="0"/>
                <w:szCs w:val="21"/>
                <w14:textFill>
                  <w14:solidFill>
                    <w14:schemeClr w14:val="tx1"/>
                  </w14:solidFill>
                </w14:textFill>
              </w:rPr>
              <w:t>平台编号</w:t>
            </w:r>
          </w:p>
        </w:tc>
        <w:tc>
          <w:tcPr>
            <w:tcW w:w="1701" w:type="dxa"/>
            <w:shd w:val="clear" w:color="000000" w:fill="C0C0C0"/>
            <w:vAlign w:val="center"/>
          </w:tcPr>
          <w:p w14:paraId="21137788">
            <w:pPr>
              <w:widowControl/>
              <w:jc w:val="center"/>
              <w:textAlignment w:val="center"/>
              <w:rPr>
                <w:rFonts w:ascii="宋体" w:hAnsi="宋体" w:eastAsia="宋体"/>
                <w:b/>
                <w:bCs/>
                <w:color w:val="000000" w:themeColor="text1"/>
                <w:kern w:val="0"/>
                <w:szCs w:val="21"/>
                <w14:textFill>
                  <w14:solidFill>
                    <w14:schemeClr w14:val="tx1"/>
                  </w14:solidFill>
                </w14:textFill>
              </w:rPr>
            </w:pPr>
            <w:r>
              <w:rPr>
                <w:rFonts w:hint="eastAsia" w:ascii="宋体" w:hAnsi="宋体" w:eastAsia="宋体"/>
                <w:b/>
                <w:bCs/>
                <w:color w:val="000000" w:themeColor="text1"/>
                <w:kern w:val="0"/>
                <w:szCs w:val="21"/>
                <w14:textFill>
                  <w14:solidFill>
                    <w14:schemeClr w14:val="tx1"/>
                  </w14:solidFill>
                </w14:textFill>
              </w:rPr>
              <w:t>软硬件服务名称</w:t>
            </w:r>
          </w:p>
        </w:tc>
        <w:tc>
          <w:tcPr>
            <w:tcW w:w="6378" w:type="dxa"/>
            <w:shd w:val="clear" w:color="000000" w:fill="C0C0C0"/>
            <w:vAlign w:val="center"/>
          </w:tcPr>
          <w:p w14:paraId="02DD4E9D">
            <w:pPr>
              <w:widowControl/>
              <w:jc w:val="center"/>
              <w:textAlignment w:val="center"/>
              <w:rPr>
                <w:rFonts w:ascii="宋体" w:hAnsi="宋体" w:eastAsia="宋体"/>
                <w:b/>
                <w:bCs/>
                <w:color w:val="000000" w:themeColor="text1"/>
                <w:kern w:val="0"/>
                <w:szCs w:val="21"/>
                <w14:textFill>
                  <w14:solidFill>
                    <w14:schemeClr w14:val="tx1"/>
                  </w14:solidFill>
                </w14:textFill>
              </w:rPr>
            </w:pPr>
            <w:r>
              <w:rPr>
                <w:rFonts w:hint="eastAsia" w:ascii="宋体" w:hAnsi="宋体" w:eastAsia="宋体"/>
                <w:b/>
                <w:bCs/>
                <w:color w:val="000000" w:themeColor="text1"/>
                <w:kern w:val="0"/>
                <w:szCs w:val="21"/>
                <w14:textFill>
                  <w14:solidFill>
                    <w14:schemeClr w14:val="tx1"/>
                  </w14:solidFill>
                </w14:textFill>
              </w:rPr>
              <w:t>详细介绍</w:t>
            </w:r>
          </w:p>
        </w:tc>
      </w:tr>
      <w:tr w14:paraId="103B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shd w:val="clear" w:color="auto" w:fill="auto"/>
            <w:vAlign w:val="center"/>
          </w:tcPr>
          <w:p w14:paraId="2A83172F">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01</w:t>
            </w:r>
          </w:p>
        </w:tc>
        <w:tc>
          <w:tcPr>
            <w:tcW w:w="1701" w:type="dxa"/>
            <w:shd w:val="clear" w:color="auto" w:fill="auto"/>
            <w:vAlign w:val="center"/>
          </w:tcPr>
          <w:p w14:paraId="021D1EA6">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业务仿真管理系统</w:t>
            </w:r>
          </w:p>
        </w:tc>
        <w:tc>
          <w:tcPr>
            <w:tcW w:w="6378" w:type="dxa"/>
            <w:shd w:val="clear" w:color="auto" w:fill="auto"/>
            <w:vAlign w:val="center"/>
          </w:tcPr>
          <w:p w14:paraId="0F9D739F">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1</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支持自定义网络拓扑，拖拽虚拟设备、物理设备、漏洞靶标至画布区快速搭建业务拓扑，可配置拓扑中虚拟机的</w:t>
            </w:r>
            <w:r>
              <w:rPr>
                <w:rFonts w:ascii="宋体" w:hAnsi="宋体" w:eastAsia="宋体"/>
                <w:color w:val="000000" w:themeColor="text1"/>
                <w:sz w:val="20"/>
                <w:szCs w:val="20"/>
                <w14:textFill>
                  <w14:solidFill>
                    <w14:schemeClr w14:val="tx1"/>
                  </w14:solidFill>
                </w14:textFill>
              </w:rPr>
              <w:t>CPU、内存、网卡数量、网卡驱动、硬盘驱动等参数；</w:t>
            </w:r>
          </w:p>
          <w:p w14:paraId="542EA6FF">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2</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可将虚拟机和真实物理设备同时加入到同一个网络拓扑中进行实验</w:t>
            </w:r>
            <w:r>
              <w:rPr>
                <w:rFonts w:ascii="宋体" w:hAnsi="宋体" w:eastAsia="宋体"/>
                <w:color w:val="000000" w:themeColor="text1"/>
                <w:sz w:val="20"/>
                <w:szCs w:val="20"/>
                <w14:textFill>
                  <w14:solidFill>
                    <w14:schemeClr w14:val="tx1"/>
                  </w14:solidFill>
                </w14:textFill>
              </w:rPr>
              <w:t>；</w:t>
            </w:r>
          </w:p>
          <w:p w14:paraId="522464E3">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3</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数字路由器和数字交换机可通过页面简单配置即可完成网络调试；</w:t>
            </w:r>
          </w:p>
          <w:p w14:paraId="00E65C48">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4</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支持设备连线、分组和取消分组展示、导出拓扑图功能，支持复制粘贴整个拓扑或单个虚拟机；</w:t>
            </w:r>
          </w:p>
          <w:p w14:paraId="00AE5656">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5</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w:t>
            </w:r>
            <w:r>
              <w:rPr>
                <w:rFonts w:ascii="宋体" w:hAnsi="宋体" w:eastAsia="宋体"/>
                <w:color w:val="000000" w:themeColor="text1"/>
                <w:sz w:val="20"/>
                <w:szCs w:val="20"/>
                <w14:textFill>
                  <w14:solidFill>
                    <w14:schemeClr w14:val="tx1"/>
                  </w14:solidFill>
                </w14:textFill>
              </w:rPr>
              <w:t>ISO镜像上传</w:t>
            </w:r>
            <w:r>
              <w:rPr>
                <w:rFonts w:hint="eastAsia" w:ascii="宋体" w:hAnsi="宋体" w:eastAsia="宋体"/>
                <w:color w:val="000000" w:themeColor="text1"/>
                <w:sz w:val="20"/>
                <w:szCs w:val="20"/>
                <w14:textFill>
                  <w14:solidFill>
                    <w14:schemeClr w14:val="tx1"/>
                  </w14:solidFill>
                </w14:textFill>
              </w:rPr>
              <w:t>，支持创建</w:t>
            </w:r>
            <w:r>
              <w:rPr>
                <w:rFonts w:ascii="宋体" w:hAnsi="宋体" w:eastAsia="宋体"/>
                <w:color w:val="000000" w:themeColor="text1"/>
                <w:sz w:val="20"/>
                <w:szCs w:val="20"/>
                <w14:textFill>
                  <w14:solidFill>
                    <w14:schemeClr w14:val="tx1"/>
                  </w14:solidFill>
                </w14:textFill>
              </w:rPr>
              <w:t>KVM、容器两种类型的虚拟设备资源</w:t>
            </w:r>
            <w:r>
              <w:rPr>
                <w:rFonts w:hint="eastAsia" w:ascii="宋体" w:hAnsi="宋体" w:eastAsia="宋体"/>
                <w:color w:val="000000" w:themeColor="text1"/>
                <w:sz w:val="20"/>
                <w:szCs w:val="20"/>
                <w14:textFill>
                  <w14:solidFill>
                    <w14:schemeClr w14:val="tx1"/>
                  </w14:solidFill>
                </w14:textFill>
              </w:rPr>
              <w:t>；</w:t>
            </w:r>
          </w:p>
          <w:p w14:paraId="66F4ADFC">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支持服务器</w:t>
            </w:r>
            <w:r>
              <w:rPr>
                <w:rFonts w:ascii="宋体" w:hAnsi="宋体" w:eastAsia="宋体"/>
                <w:color w:val="000000" w:themeColor="text1"/>
                <w:sz w:val="20"/>
                <w:szCs w:val="20"/>
                <w14:textFill>
                  <w14:solidFill>
                    <w14:schemeClr w14:val="tx1"/>
                  </w14:solidFill>
                </w14:textFill>
              </w:rPr>
              <w:t>IP、时间、SSH端口管控、XFF代理、访问IP白名单等页面配置维护；</w:t>
            </w:r>
          </w:p>
          <w:p w14:paraId="3FC1FE06">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6</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支持多种</w:t>
            </w:r>
            <w:r>
              <w:rPr>
                <w:rFonts w:ascii="宋体" w:hAnsi="宋体" w:eastAsia="宋体"/>
                <w:color w:val="000000" w:themeColor="text1"/>
                <w:sz w:val="20"/>
                <w:szCs w:val="20"/>
                <w14:textFill>
                  <w14:solidFill>
                    <w14:schemeClr w14:val="tx1"/>
                  </w14:solidFill>
                </w14:textFill>
              </w:rPr>
              <w:t>IP地址管理及分配方式</w:t>
            </w:r>
            <w:r>
              <w:rPr>
                <w:rFonts w:hint="eastAsia" w:ascii="宋体" w:hAnsi="宋体" w:eastAsia="宋体"/>
                <w:color w:val="000000" w:themeColor="text1"/>
                <w:sz w:val="20"/>
                <w:szCs w:val="20"/>
                <w14:textFill>
                  <w14:solidFill>
                    <w14:schemeClr w14:val="tx1"/>
                  </w14:solidFill>
                </w14:textFill>
              </w:rPr>
              <w:t>，可配置VNC、RDP、SSH几种连接访问模式，支持向虚拟机内粘贴文本和导入文件。</w:t>
            </w:r>
          </w:p>
        </w:tc>
      </w:tr>
      <w:tr w14:paraId="43B9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shd w:val="clear" w:color="auto" w:fill="auto"/>
            <w:vAlign w:val="center"/>
          </w:tcPr>
          <w:p w14:paraId="3C73D585">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02</w:t>
            </w:r>
          </w:p>
        </w:tc>
        <w:tc>
          <w:tcPr>
            <w:tcW w:w="1701" w:type="dxa"/>
            <w:shd w:val="clear" w:color="auto" w:fill="auto"/>
            <w:vAlign w:val="center"/>
          </w:tcPr>
          <w:p w14:paraId="42D3220A">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网络安全实践教学系统</w:t>
            </w:r>
          </w:p>
        </w:tc>
        <w:tc>
          <w:tcPr>
            <w:tcW w:w="6378" w:type="dxa"/>
            <w:shd w:val="clear" w:color="auto" w:fill="auto"/>
            <w:vAlign w:val="center"/>
          </w:tcPr>
          <w:p w14:paraId="4EA0EB2C">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1</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支持实验进度保存功能，实验环境关闭时系统自动保留实验的操作进度，下次启动实验时可在上次实验进度基础上继续实验；</w:t>
            </w:r>
          </w:p>
          <w:p w14:paraId="56A8FABE">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2</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支持根据实验所需资源自动分配算力资源；</w:t>
            </w:r>
          </w:p>
          <w:p w14:paraId="3E676175">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3</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支持分步式实验手册设计，每一步可关联学习任务</w:t>
            </w:r>
            <w:r>
              <w:rPr>
                <w:rFonts w:ascii="宋体" w:hAnsi="宋体" w:eastAsia="宋体"/>
                <w:color w:val="000000" w:themeColor="text1"/>
                <w:sz w:val="20"/>
                <w:szCs w:val="20"/>
                <w14:textFill>
                  <w14:solidFill>
                    <w14:schemeClr w14:val="tx1"/>
                  </w14:solidFill>
                </w14:textFill>
              </w:rPr>
              <w:t>，并自动验证实验的完成条件，通过系统自动判定实验完成度实现闯关模式的实验形式；</w:t>
            </w:r>
          </w:p>
          <w:p w14:paraId="38CDA17D">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4</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支持在实训过程中自定义规划设计项目实验环境，如设计网络架构、划分网络区域、增加设备节点、更改设备连接线、搭建系统服务和配置网络策略。</w:t>
            </w:r>
          </w:p>
        </w:tc>
      </w:tr>
      <w:tr w14:paraId="2F62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shd w:val="clear" w:color="auto" w:fill="auto"/>
            <w:vAlign w:val="center"/>
          </w:tcPr>
          <w:p w14:paraId="3DF1C6CA">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03</w:t>
            </w:r>
          </w:p>
        </w:tc>
        <w:tc>
          <w:tcPr>
            <w:tcW w:w="1701" w:type="dxa"/>
            <w:shd w:val="clear" w:color="auto" w:fill="auto"/>
            <w:vAlign w:val="center"/>
          </w:tcPr>
          <w:p w14:paraId="7F641B4E">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网络安全攻防竞技系统</w:t>
            </w:r>
          </w:p>
        </w:tc>
        <w:tc>
          <w:tcPr>
            <w:tcW w:w="6378" w:type="dxa"/>
            <w:shd w:val="clear" w:color="auto" w:fill="auto"/>
            <w:vAlign w:val="center"/>
          </w:tcPr>
          <w:p w14:paraId="541EDB54">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1</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支持容器和</w:t>
            </w:r>
            <w:r>
              <w:rPr>
                <w:rFonts w:ascii="宋体" w:hAnsi="宋体" w:eastAsia="宋体"/>
                <w:color w:val="000000" w:themeColor="text1"/>
                <w:sz w:val="20"/>
                <w:szCs w:val="20"/>
                <w14:textFill>
                  <w14:solidFill>
                    <w14:schemeClr w14:val="tx1"/>
                  </w14:solidFill>
                </w14:textFill>
              </w:rPr>
              <w:t>KVM两种虚拟化技术，自定义上传环境镜像，支持预览启动查看</w:t>
            </w:r>
            <w:r>
              <w:rPr>
                <w:rFonts w:hint="eastAsia" w:ascii="宋体" w:hAnsi="宋体" w:eastAsia="宋体"/>
                <w:color w:val="000000" w:themeColor="text1"/>
                <w:sz w:val="20"/>
                <w:szCs w:val="20"/>
                <w14:textFill>
                  <w14:solidFill>
                    <w14:schemeClr w14:val="tx1"/>
                  </w14:solidFill>
                </w14:textFill>
              </w:rPr>
              <w:t>赛题</w:t>
            </w:r>
            <w:r>
              <w:rPr>
                <w:rFonts w:ascii="宋体" w:hAnsi="宋体" w:eastAsia="宋体"/>
                <w:color w:val="000000" w:themeColor="text1"/>
                <w:sz w:val="20"/>
                <w:szCs w:val="20"/>
                <w14:textFill>
                  <w14:solidFill>
                    <w14:schemeClr w14:val="tx1"/>
                  </w14:solidFill>
                </w14:textFill>
              </w:rPr>
              <w:t>环境；</w:t>
            </w:r>
          </w:p>
          <w:p w14:paraId="79C9A65F">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2</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支持自定义检测规则设置，支持检测协议和检测脚本上传两种方式，根据需求可使用</w:t>
            </w:r>
            <w:r>
              <w:rPr>
                <w:rFonts w:ascii="宋体" w:hAnsi="宋体" w:eastAsia="宋体"/>
                <w:color w:val="000000" w:themeColor="text1"/>
                <w:sz w:val="20"/>
                <w:szCs w:val="20"/>
                <w14:textFill>
                  <w14:solidFill>
                    <w14:schemeClr w14:val="tx1"/>
                  </w14:solidFill>
                </w14:textFill>
              </w:rPr>
              <w:t>HTTP、TCP检测协议从服务端口、期望输出、URL等方面设置，也可以使用脚本方式；</w:t>
            </w:r>
          </w:p>
          <w:p w14:paraId="4FC6DD3D">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3</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支持动态</w:t>
            </w:r>
            <w:r>
              <w:rPr>
                <w:rFonts w:ascii="宋体" w:hAnsi="宋体" w:eastAsia="宋体"/>
                <w:color w:val="000000" w:themeColor="text1"/>
                <w:sz w:val="20"/>
                <w:szCs w:val="20"/>
                <w14:textFill>
                  <w14:solidFill>
                    <w14:schemeClr w14:val="tx1"/>
                  </w14:solidFill>
                </w14:textFill>
              </w:rPr>
              <w:t>flag，可根据需求使用关联路径、修改变量、命令执行、curl、脚本执行方式进行设置</w:t>
            </w:r>
            <w:r>
              <w:rPr>
                <w:rFonts w:hint="eastAsia" w:ascii="宋体" w:hAnsi="宋体" w:eastAsia="宋体"/>
                <w:color w:val="000000" w:themeColor="text1"/>
                <w:sz w:val="20"/>
                <w:szCs w:val="20"/>
                <w14:textFill>
                  <w14:solidFill>
                    <w14:schemeClr w14:val="tx1"/>
                  </w14:solidFill>
                </w14:textFill>
              </w:rPr>
              <w:t>；</w:t>
            </w:r>
          </w:p>
          <w:p w14:paraId="3E787D11">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4</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支持来源</w:t>
            </w:r>
            <w:r>
              <w:rPr>
                <w:rFonts w:ascii="宋体" w:hAnsi="宋体" w:eastAsia="宋体"/>
                <w:color w:val="000000" w:themeColor="text1"/>
                <w:sz w:val="20"/>
                <w:szCs w:val="20"/>
                <w14:textFill>
                  <w14:solidFill>
                    <w14:schemeClr w14:val="tx1"/>
                  </w14:solidFill>
                </w14:textFill>
              </w:rPr>
              <w:t>IP段输入验证、登录绑定，支持来源IP启用、不启用、批量清除IP等操作</w:t>
            </w:r>
            <w:r>
              <w:rPr>
                <w:rFonts w:hint="eastAsia" w:ascii="宋体" w:hAnsi="宋体" w:eastAsia="宋体"/>
                <w:color w:val="000000" w:themeColor="text1"/>
                <w:sz w:val="20"/>
                <w:szCs w:val="20"/>
                <w14:textFill>
                  <w14:solidFill>
                    <w14:schemeClr w14:val="tx1"/>
                  </w14:solidFill>
                </w14:textFill>
              </w:rPr>
              <w:t>。</w:t>
            </w:r>
          </w:p>
        </w:tc>
      </w:tr>
      <w:tr w14:paraId="01A8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shd w:val="clear" w:color="auto" w:fill="auto"/>
            <w:vAlign w:val="center"/>
          </w:tcPr>
          <w:p w14:paraId="6255EEDE">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04</w:t>
            </w:r>
          </w:p>
        </w:tc>
        <w:tc>
          <w:tcPr>
            <w:tcW w:w="1701" w:type="dxa"/>
            <w:shd w:val="clear" w:color="auto" w:fill="auto"/>
            <w:vAlign w:val="center"/>
          </w:tcPr>
          <w:p w14:paraId="15B99EE8">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网络安全攻防演练靶场系统</w:t>
            </w:r>
          </w:p>
        </w:tc>
        <w:tc>
          <w:tcPr>
            <w:tcW w:w="6378" w:type="dxa"/>
            <w:shd w:val="clear" w:color="auto" w:fill="auto"/>
            <w:vAlign w:val="center"/>
          </w:tcPr>
          <w:p w14:paraId="2841E93F">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1</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支持场景拓扑搭建功能，拓扑搭建支持虚拟机间的链路设置，包括链路网卡、</w:t>
            </w:r>
            <w:r>
              <w:rPr>
                <w:rFonts w:ascii="宋体" w:hAnsi="宋体" w:eastAsia="宋体"/>
                <w:color w:val="000000" w:themeColor="text1"/>
                <w:sz w:val="20"/>
                <w:szCs w:val="20"/>
                <w14:textFill>
                  <w14:solidFill>
                    <w14:schemeClr w14:val="tx1"/>
                  </w14:solidFill>
                </w14:textFill>
              </w:rPr>
              <w:t>IP地址、子网掩码、网管地址、DNS、网速限制配置，支持QOS配置，可以设置丢包率及延迟时间进行设置，可设置数字VPN接入点进行演练过程中的外部用户接入；</w:t>
            </w:r>
          </w:p>
          <w:p w14:paraId="3E7AD676">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2</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支持回放位置、回放策略、回放速度的设置，可对流量的源</w:t>
            </w:r>
            <w:r>
              <w:rPr>
                <w:rFonts w:ascii="宋体" w:hAnsi="宋体" w:eastAsia="宋体"/>
                <w:color w:val="000000" w:themeColor="text1"/>
                <w:sz w:val="20"/>
                <w:szCs w:val="20"/>
                <w14:textFill>
                  <w14:solidFill>
                    <w14:schemeClr w14:val="tx1"/>
                  </w14:solidFill>
                </w14:textFill>
              </w:rPr>
              <w:t>IP地址、源端口、目的IP、目的端口进行更改配置用于重复回放配置，支持智能替换并可对流量回放速度进行自定义设置；</w:t>
            </w:r>
          </w:p>
          <w:p w14:paraId="597394EE">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3</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提供</w:t>
            </w:r>
            <w:r>
              <w:rPr>
                <w:rFonts w:ascii="宋体" w:hAnsi="宋体" w:eastAsia="宋体"/>
                <w:color w:val="000000" w:themeColor="text1"/>
                <w:sz w:val="20"/>
                <w:szCs w:val="20"/>
                <w14:textFill>
                  <w14:solidFill>
                    <w14:schemeClr w14:val="tx1"/>
                  </w14:solidFill>
                </w14:textFill>
              </w:rPr>
              <w:t>python在线编辑器及在线调试、流量回放在线编辑、MSF在线调试等功能；</w:t>
            </w:r>
          </w:p>
          <w:p w14:paraId="5767E38F">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4</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支持数据采集功能，可以对仿真场景数据进行采集；</w:t>
            </w:r>
          </w:p>
          <w:p w14:paraId="0D11DF1C">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5</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支持对演练事件的编排功能，通过设置事件发生轨道完成演练事件的自动化执行设置。</w:t>
            </w:r>
          </w:p>
        </w:tc>
      </w:tr>
      <w:tr w14:paraId="0DAE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shd w:val="clear" w:color="auto" w:fill="auto"/>
            <w:vAlign w:val="center"/>
          </w:tcPr>
          <w:p w14:paraId="75DDF0F2">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05</w:t>
            </w:r>
          </w:p>
        </w:tc>
        <w:tc>
          <w:tcPr>
            <w:tcW w:w="1701" w:type="dxa"/>
            <w:shd w:val="clear" w:color="auto" w:fill="auto"/>
            <w:vAlign w:val="center"/>
          </w:tcPr>
          <w:p w14:paraId="5E717490">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数据安全防护系统</w:t>
            </w:r>
          </w:p>
        </w:tc>
        <w:tc>
          <w:tcPr>
            <w:tcW w:w="6378" w:type="dxa"/>
            <w:shd w:val="clear" w:color="auto" w:fill="auto"/>
            <w:vAlign w:val="center"/>
          </w:tcPr>
          <w:p w14:paraId="69DB08B9">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1</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实现外部攻击，漏洞攻击，</w:t>
            </w:r>
            <w:r>
              <w:rPr>
                <w:rFonts w:ascii="宋体" w:hAnsi="宋体" w:eastAsia="宋体"/>
                <w:color w:val="000000" w:themeColor="text1"/>
                <w:sz w:val="20"/>
                <w:szCs w:val="20"/>
                <w14:textFill>
                  <w14:solidFill>
                    <w14:schemeClr w14:val="tx1"/>
                  </w14:solidFill>
                </w14:textFill>
              </w:rPr>
              <w:t>SQL注入，内部窃取、越权操作、误操作，权限管控与审批等场景下的数据库综合防护</w:t>
            </w:r>
            <w:r>
              <w:rPr>
                <w:rFonts w:hint="eastAsia" w:ascii="宋体" w:hAnsi="宋体" w:eastAsia="宋体"/>
                <w:color w:val="000000" w:themeColor="text1"/>
                <w:sz w:val="20"/>
                <w:szCs w:val="20"/>
                <w14:textFill>
                  <w14:solidFill>
                    <w14:schemeClr w14:val="tx1"/>
                  </w14:solidFill>
                </w14:textFill>
              </w:rPr>
              <w:t>；</w:t>
            </w:r>
          </w:p>
          <w:p w14:paraId="3457E636">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2</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可实现攻击型风险识别、防APT攻击、虚拟补丁、权限梳理、精准拦截、多维度分析、检索溯源等功能。可协助通过各种合规检测，能够实时记录网络上的数据库活动，对数据库操作进行细粒度审计的合规性管理，对数据库遭受到的风险行为进行告警，对攻击行为进行阻断。</w:t>
            </w:r>
          </w:p>
          <w:p w14:paraId="4D66E97E">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3</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通过端口镜像或</w:t>
            </w:r>
            <w:r>
              <w:rPr>
                <w:rFonts w:ascii="宋体" w:hAnsi="宋体" w:eastAsia="宋体"/>
                <w:color w:val="000000" w:themeColor="text1"/>
                <w:sz w:val="20"/>
                <w:szCs w:val="20"/>
                <w14:textFill>
                  <w14:solidFill>
                    <w14:schemeClr w14:val="tx1"/>
                  </w14:solidFill>
                </w14:textFill>
              </w:rPr>
              <w:t>agent的方式采集所有数据库的访问流量，并基于SQL语法、语义的解析技术，记录下数据库的所有访问和操作行为，并进行风险行为告警，多重身份定位，事后溯源取证。</w:t>
            </w:r>
          </w:p>
          <w:p w14:paraId="4191B3DF">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4</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脱敏源和脱敏目标管理功能，具备敏感数据提供规则管理能力，能按照用户指定的部分敏感数据或预定义的敏感数据特征，在执行任务过程中，自动对抽取的数据进行识别并根据敏感数据发现规则确定敏感数据类型。可以根据各类数据应用场景如系统开发、功能测试、性能测试、数据分析等，制定不同的脱敏方案。</w:t>
            </w:r>
          </w:p>
        </w:tc>
      </w:tr>
      <w:tr w14:paraId="56BB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shd w:val="clear" w:color="auto" w:fill="auto"/>
            <w:vAlign w:val="center"/>
          </w:tcPr>
          <w:p w14:paraId="68776777">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06</w:t>
            </w:r>
          </w:p>
        </w:tc>
        <w:tc>
          <w:tcPr>
            <w:tcW w:w="1701" w:type="dxa"/>
            <w:shd w:val="clear" w:color="auto" w:fill="auto"/>
            <w:vAlign w:val="center"/>
          </w:tcPr>
          <w:p w14:paraId="47C921C9">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边界安全防护系统</w:t>
            </w:r>
          </w:p>
        </w:tc>
        <w:tc>
          <w:tcPr>
            <w:tcW w:w="6378" w:type="dxa"/>
            <w:shd w:val="clear" w:color="auto" w:fill="auto"/>
            <w:vAlign w:val="center"/>
          </w:tcPr>
          <w:p w14:paraId="50E20D6A">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1</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含网页过滤、用户认证、应用控制、内容审计、带宽管理、行为监控分析、防私接等功能。提供基于时间、用户、应用的精细管理控制策略，提供外发信息监控审计功能、应用层的带宽管理功能，通过智能流量管理技术，有效限制</w:t>
            </w:r>
            <w:r>
              <w:rPr>
                <w:rFonts w:ascii="宋体" w:hAnsi="宋体" w:eastAsia="宋体"/>
                <w:color w:val="000000" w:themeColor="text1"/>
                <w:sz w:val="20"/>
                <w:szCs w:val="20"/>
                <w14:textFill>
                  <w14:solidFill>
                    <w14:schemeClr w14:val="tx1"/>
                  </w14:solidFill>
                </w14:textFill>
              </w:rPr>
              <w:t>P2P等应用的带宽，保证关键业务应用的带宽，避免网络拥塞和带宽资源浪费。</w:t>
            </w:r>
          </w:p>
          <w:p w14:paraId="2651DB30">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2</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具有数据深度安全检测能力和攻击防御能力，可以识别</w:t>
            </w:r>
            <w:r>
              <w:rPr>
                <w:rFonts w:ascii="宋体" w:hAnsi="宋体" w:eastAsia="宋体"/>
                <w:color w:val="000000" w:themeColor="text1"/>
                <w:sz w:val="20"/>
                <w:szCs w:val="20"/>
                <w14:textFill>
                  <w14:solidFill>
                    <w14:schemeClr w14:val="tx1"/>
                  </w14:solidFill>
                </w14:textFill>
              </w:rPr>
              <w:t>7000+种以上的应用协议，且支持手动添加特定应用，支持深度内容检查技术，</w:t>
            </w:r>
            <w:r>
              <w:rPr>
                <w:rFonts w:hint="eastAsia" w:ascii="宋体" w:hAnsi="宋体" w:eastAsia="宋体"/>
                <w:color w:val="000000" w:themeColor="text1"/>
                <w:sz w:val="20"/>
                <w:szCs w:val="20"/>
                <w14:textFill>
                  <w14:solidFill>
                    <w14:schemeClr w14:val="tx1"/>
                  </w14:solidFill>
                </w14:textFill>
              </w:rPr>
              <w:t>集成防火墙、</w:t>
            </w:r>
            <w:r>
              <w:rPr>
                <w:rFonts w:ascii="宋体" w:hAnsi="宋体" w:eastAsia="宋体"/>
                <w:color w:val="000000" w:themeColor="text1"/>
                <w:sz w:val="20"/>
                <w:szCs w:val="20"/>
                <w14:textFill>
                  <w14:solidFill>
                    <w14:schemeClr w14:val="tx1"/>
                  </w14:solidFill>
                </w14:textFill>
              </w:rPr>
              <w:t>VPN、应用与身份识别、防病毒、入侵防御、虚拟系统、行为管理、应用层内容安全防护、威胁情报等综合安全防御功能</w:t>
            </w:r>
            <w:r>
              <w:rPr>
                <w:rFonts w:hint="eastAsia" w:ascii="宋体" w:hAnsi="宋体" w:eastAsia="宋体"/>
                <w:color w:val="000000" w:themeColor="text1"/>
                <w:sz w:val="20"/>
                <w:szCs w:val="20"/>
                <w14:textFill>
                  <w14:solidFill>
                    <w14:schemeClr w14:val="tx1"/>
                  </w14:solidFill>
                </w14:textFill>
              </w:rPr>
              <w:t>。</w:t>
            </w:r>
          </w:p>
          <w:p w14:paraId="0A2208E5">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3</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集成高性能病毒查杀、漏洞防护、主动防御引擎，深度融合威胁情报、大数据分析和安全可视化等创新技术，具有防病毒、漏洞管理、运维管控、基线合规检查、网络准入、终端审计、终端检测与响应（</w:t>
            </w:r>
            <w:r>
              <w:rPr>
                <w:rFonts w:ascii="宋体" w:hAnsi="宋体" w:eastAsia="宋体"/>
                <w:color w:val="000000" w:themeColor="text1"/>
                <w:sz w:val="20"/>
                <w:szCs w:val="20"/>
                <w14:textFill>
                  <w14:solidFill>
                    <w14:schemeClr w14:val="tx1"/>
                  </w14:solidFill>
                </w14:textFill>
              </w:rPr>
              <w:t>EDR）、终端数据防泄漏等安全功能</w:t>
            </w:r>
            <w:r>
              <w:rPr>
                <w:rFonts w:hint="eastAsia" w:ascii="宋体" w:hAnsi="宋体" w:eastAsia="宋体"/>
                <w:color w:val="000000" w:themeColor="text1"/>
                <w:sz w:val="20"/>
                <w:szCs w:val="20"/>
                <w14:textFill>
                  <w14:solidFill>
                    <w14:schemeClr w14:val="tx1"/>
                  </w14:solidFill>
                </w14:textFill>
              </w:rPr>
              <w:t>。功能覆盖架构安全、被动防护、主动防御等各个安全能力阶段，深度集成了补丁管理、病毒查杀、终端管控、检测与响应、数据防泄漏等多项功能。</w:t>
            </w:r>
          </w:p>
        </w:tc>
      </w:tr>
      <w:tr w14:paraId="214D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shd w:val="clear" w:color="auto" w:fill="auto"/>
            <w:vAlign w:val="center"/>
          </w:tcPr>
          <w:p w14:paraId="7C589AE9">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07</w:t>
            </w:r>
          </w:p>
        </w:tc>
        <w:tc>
          <w:tcPr>
            <w:tcW w:w="1701" w:type="dxa"/>
            <w:shd w:val="clear" w:color="auto" w:fill="auto"/>
            <w:vAlign w:val="center"/>
          </w:tcPr>
          <w:p w14:paraId="6E3BEA55">
            <w:pPr>
              <w:spacing w:line="300" w:lineRule="exact"/>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W</w:t>
            </w:r>
            <w:r>
              <w:rPr>
                <w:rFonts w:hint="eastAsia" w:ascii="宋体" w:hAnsi="宋体" w:eastAsia="宋体"/>
                <w:color w:val="000000" w:themeColor="text1"/>
                <w:sz w:val="20"/>
                <w:szCs w:val="20"/>
                <w14:textFill>
                  <w14:solidFill>
                    <w14:schemeClr w14:val="tx1"/>
                  </w14:solidFill>
                </w14:textFill>
              </w:rPr>
              <w:t>eb应用防护系统</w:t>
            </w:r>
          </w:p>
        </w:tc>
        <w:tc>
          <w:tcPr>
            <w:tcW w:w="6378" w:type="dxa"/>
            <w:shd w:val="clear" w:color="auto" w:fill="auto"/>
            <w:vAlign w:val="center"/>
          </w:tcPr>
          <w:p w14:paraId="1C2ACC43">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1</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可以有效地缓解网站及</w:t>
            </w:r>
            <w:r>
              <w:rPr>
                <w:rFonts w:ascii="宋体" w:hAnsi="宋体" w:eastAsia="宋体"/>
                <w:color w:val="000000" w:themeColor="text1"/>
                <w:sz w:val="20"/>
                <w:szCs w:val="20"/>
                <w14:textFill>
                  <w14:solidFill>
                    <w14:schemeClr w14:val="tx1"/>
                  </w14:solidFill>
                </w14:textFill>
              </w:rPr>
              <w:t>Web应用系统面临如0WASP TOP 10中定义的常见威胁；可以快速地应对恶意攻击者对Web业务带来的冲击。让网站免遭Web攻击侵扰并对网站代码进行合理加固。</w:t>
            </w:r>
          </w:p>
          <w:p w14:paraId="3B951601">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2</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可根据攻击特征进行的攻击检测技术，对于攻击特征进行有效分类和组织。支持检测恶意活动，包括恶意</w:t>
            </w:r>
            <w:r>
              <w:rPr>
                <w:rFonts w:ascii="宋体" w:hAnsi="宋体" w:eastAsia="宋体"/>
                <w:color w:val="000000" w:themeColor="text1"/>
                <w:sz w:val="20"/>
                <w:szCs w:val="20"/>
                <w14:textFill>
                  <w14:solidFill>
                    <w14:schemeClr w14:val="tx1"/>
                  </w14:solidFill>
                </w14:textFill>
              </w:rPr>
              <w:t>SSL证书、钓鱼攻击、非法获取权限等</w:t>
            </w:r>
            <w:r>
              <w:rPr>
                <w:rFonts w:hint="eastAsia" w:ascii="宋体" w:hAnsi="宋体" w:eastAsia="宋体"/>
                <w:color w:val="000000" w:themeColor="text1"/>
                <w:sz w:val="20"/>
                <w:szCs w:val="20"/>
                <w14:textFill>
                  <w14:solidFill>
                    <w14:schemeClr w14:val="tx1"/>
                  </w14:solidFill>
                </w14:textFill>
              </w:rPr>
              <w:t>，支持检测漏洞后门类攻击，包括漏洞利用、后门攻击、文件包含、缓冲溢出、目录遍历等，支持检测僵木蠕类攻击，包括木马、蠕虫病毒、僵尸网络等。</w:t>
            </w:r>
          </w:p>
          <w:p w14:paraId="0B99AB4E">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3</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支持针对指定</w:t>
            </w:r>
            <w:r>
              <w:rPr>
                <w:rFonts w:ascii="宋体" w:hAnsi="宋体" w:eastAsia="宋体"/>
                <w:color w:val="000000" w:themeColor="text1"/>
                <w:sz w:val="20"/>
                <w:szCs w:val="20"/>
                <w14:textFill>
                  <w14:solidFill>
                    <w14:schemeClr w14:val="tx1"/>
                  </w14:solidFill>
                </w14:textFill>
              </w:rPr>
              <w:t>IP段，同时一键下发系统扫描、Web扫描、弱口令扫描任务，其中Web扫描能够自动发现该网段内的在线网站并开展扫描；弱口令扫描能自动发现该网段IP开放服务并自动开展弱口令扫描。</w:t>
            </w:r>
            <w:r>
              <w:rPr>
                <w:rFonts w:hint="eastAsia" w:ascii="宋体" w:hAnsi="宋体" w:eastAsia="宋体"/>
                <w:color w:val="000000" w:themeColor="text1"/>
                <w:sz w:val="20"/>
                <w:szCs w:val="20"/>
                <w14:textFill>
                  <w14:solidFill>
                    <w14:schemeClr w14:val="tx1"/>
                  </w14:solidFill>
                </w14:textFill>
              </w:rPr>
              <w:t>支持检测的系统漏洞数不少于</w:t>
            </w:r>
            <w:r>
              <w:rPr>
                <w:rFonts w:ascii="宋体" w:hAnsi="宋体" w:eastAsia="宋体"/>
                <w:color w:val="000000" w:themeColor="text1"/>
                <w:sz w:val="20"/>
                <w:szCs w:val="20"/>
                <w14:textFill>
                  <w14:solidFill>
                    <w14:schemeClr w14:val="tx1"/>
                  </w14:solidFill>
                </w14:textFill>
              </w:rPr>
              <w:t>17万个，覆盖CVE、CVSS、CNVD、CNNVD、CNCVE、Bugtraq多种漏洞标准。</w:t>
            </w:r>
          </w:p>
        </w:tc>
      </w:tr>
      <w:tr w14:paraId="569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shd w:val="clear" w:color="auto" w:fill="auto"/>
            <w:vAlign w:val="center"/>
          </w:tcPr>
          <w:p w14:paraId="35C8A813">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08</w:t>
            </w:r>
          </w:p>
        </w:tc>
        <w:tc>
          <w:tcPr>
            <w:tcW w:w="1701" w:type="dxa"/>
            <w:shd w:val="clear" w:color="auto" w:fill="auto"/>
            <w:vAlign w:val="center"/>
          </w:tcPr>
          <w:p w14:paraId="6DE4C30E">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人工智能评测系统</w:t>
            </w:r>
          </w:p>
        </w:tc>
        <w:tc>
          <w:tcPr>
            <w:tcW w:w="6378" w:type="dxa"/>
            <w:shd w:val="clear" w:color="auto" w:fill="auto"/>
            <w:vAlign w:val="center"/>
          </w:tcPr>
          <w:p w14:paraId="7C1BEE56">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包含对人工智能模型的脆弱性、隐私性、公平性、可解释性评估，并提供多维度全方位的评估报告，支持在</w:t>
            </w:r>
            <w:r>
              <w:rPr>
                <w:rFonts w:ascii="宋体" w:hAnsi="宋体" w:eastAsia="宋体"/>
                <w:color w:val="000000" w:themeColor="text1"/>
                <w:sz w:val="20"/>
                <w:szCs w:val="20"/>
                <w14:textFill>
                  <w14:solidFill>
                    <w14:schemeClr w14:val="tx1"/>
                  </w14:solidFill>
                </w14:textFill>
              </w:rPr>
              <w:t>MindSpore、PaddlePaddle等不少于2种国产主流深度学习框架，Tensorflow、PyTorch等不少于2种国外主流深度学习框架上完成对图像感知、语音识别、自然语言理解、推理决策等不少于4类超过60种智能算法的训练、评估、分析等功能；支持多模态数据在不同模型上的评估，集成不少于60种针对不同模型架构的评估方法，包括模型中毒测试、数据与模型参数窃取测试等；集成50种以上恶意样本/模型检测方法。</w:t>
            </w:r>
          </w:p>
        </w:tc>
      </w:tr>
      <w:tr w14:paraId="365A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shd w:val="clear" w:color="auto" w:fill="auto"/>
            <w:vAlign w:val="center"/>
          </w:tcPr>
          <w:p w14:paraId="6D0153C8">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09</w:t>
            </w:r>
          </w:p>
        </w:tc>
        <w:tc>
          <w:tcPr>
            <w:tcW w:w="1701" w:type="dxa"/>
            <w:shd w:val="clear" w:color="auto" w:fill="auto"/>
            <w:vAlign w:val="center"/>
          </w:tcPr>
          <w:p w14:paraId="66F81AB0">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人工智能评测数据集</w:t>
            </w:r>
          </w:p>
        </w:tc>
        <w:tc>
          <w:tcPr>
            <w:tcW w:w="6378" w:type="dxa"/>
            <w:shd w:val="clear" w:color="auto" w:fill="auto"/>
            <w:vAlign w:val="center"/>
          </w:tcPr>
          <w:p w14:paraId="58A6E33B">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1</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包含图像、文本、音频、表格不同模态的20种数据集</w:t>
            </w:r>
            <w:r>
              <w:rPr>
                <w:rFonts w:hint="eastAsia" w:ascii="宋体" w:hAnsi="宋体" w:eastAsia="宋体"/>
                <w:color w:val="000000" w:themeColor="text1"/>
                <w:sz w:val="20"/>
                <w:szCs w:val="20"/>
                <w14:textFill>
                  <w14:solidFill>
                    <w14:schemeClr w14:val="tx1"/>
                  </w14:solidFill>
                </w14:textFill>
              </w:rPr>
              <w:t>。</w:t>
            </w:r>
          </w:p>
          <w:p w14:paraId="5724B5AA">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2.包含手写数字、猫狗分类、名人人脸识别、欧美人脸识别、行人检测、金融地产新闻、体育股票描述、语音情感分类、植物特征分析</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低分辨率物体分类、欧洲交通标志识别、花朵分类、环境分类、航空遥感、场景识别、高分辨率物体分类、名人人脸分类、外卖评论分析、信用评估、车辆检测、语音分类</w:t>
            </w:r>
            <w:r>
              <w:rPr>
                <w:rFonts w:hint="eastAsia" w:ascii="宋体" w:hAnsi="宋体" w:eastAsia="宋体"/>
                <w:color w:val="000000" w:themeColor="text1"/>
                <w:sz w:val="20"/>
                <w:szCs w:val="20"/>
                <w14:textFill>
                  <w14:solidFill>
                    <w14:schemeClr w14:val="tx1"/>
                  </w14:solidFill>
                </w14:textFill>
              </w:rPr>
              <w:t>等数据类型。</w:t>
            </w:r>
          </w:p>
        </w:tc>
      </w:tr>
      <w:tr w14:paraId="3E48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135" w:type="dxa"/>
            <w:shd w:val="clear" w:color="auto" w:fill="auto"/>
            <w:vAlign w:val="center"/>
          </w:tcPr>
          <w:p w14:paraId="5A7CCBCE">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10</w:t>
            </w:r>
          </w:p>
        </w:tc>
        <w:tc>
          <w:tcPr>
            <w:tcW w:w="1701" w:type="dxa"/>
            <w:shd w:val="clear" w:color="auto" w:fill="auto"/>
            <w:vAlign w:val="center"/>
          </w:tcPr>
          <w:p w14:paraId="00A37BF3">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人工智能模型算法资源</w:t>
            </w:r>
          </w:p>
        </w:tc>
        <w:tc>
          <w:tcPr>
            <w:tcW w:w="6378" w:type="dxa"/>
            <w:shd w:val="clear" w:color="auto" w:fill="auto"/>
            <w:vAlign w:val="center"/>
          </w:tcPr>
          <w:p w14:paraId="73A5035C">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1</w:t>
            </w:r>
            <w:r>
              <w:rPr>
                <w:rFonts w:ascii="宋体" w:hAnsi="宋体" w:eastAsia="宋体"/>
                <w:color w:val="000000" w:themeColor="text1"/>
                <w:sz w:val="20"/>
                <w:szCs w:val="20"/>
                <w14:textFill>
                  <w14:solidFill>
                    <w14:schemeClr w14:val="tx1"/>
                  </w14:solidFill>
                </w14:textFill>
              </w:rPr>
              <w:t>.包含图像、文本、音频、表格不同模态的20种模型算法源码</w:t>
            </w:r>
            <w:r>
              <w:rPr>
                <w:rFonts w:hint="eastAsia" w:ascii="宋体" w:hAnsi="宋体" w:eastAsia="宋体"/>
                <w:color w:val="000000" w:themeColor="text1"/>
                <w:sz w:val="20"/>
                <w:szCs w:val="20"/>
                <w14:textFill>
                  <w14:solidFill>
                    <w14:schemeClr w14:val="tx1"/>
                  </w14:solidFill>
                </w14:textFill>
              </w:rPr>
              <w:t>；</w:t>
            </w:r>
          </w:p>
          <w:p w14:paraId="1AD6D227">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2</w:t>
            </w:r>
            <w:r>
              <w:rPr>
                <w:rFonts w:ascii="宋体" w:hAnsi="宋体" w:eastAsia="宋体"/>
                <w:color w:val="000000" w:themeColor="text1"/>
                <w:sz w:val="20"/>
                <w:szCs w:val="20"/>
                <w14:textFill>
                  <w14:solidFill>
                    <w14:schemeClr w14:val="tx1"/>
                  </w14:solidFill>
                </w14:textFill>
              </w:rPr>
              <w:t>.包含LeNet、DenseNet121、VGG16、AlexNet、YOLOv5、TextCNN、BERT、MLP、LogisticRegression</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InceptionV1、InceptionV2、ZFNet、InceptionV3、MobileNetV1、MobileNetV2、ResNet、EfficientNet、TextRNN、LSTM、SGDClassifier算法</w:t>
            </w:r>
            <w:r>
              <w:rPr>
                <w:rFonts w:hint="eastAsia" w:ascii="宋体" w:hAnsi="宋体" w:eastAsia="宋体"/>
                <w:color w:val="000000" w:themeColor="text1"/>
                <w:sz w:val="20"/>
                <w:szCs w:val="20"/>
                <w14:textFill>
                  <w14:solidFill>
                    <w14:schemeClr w14:val="tx1"/>
                  </w14:solidFill>
                </w14:textFill>
              </w:rPr>
              <w:t>。</w:t>
            </w:r>
          </w:p>
        </w:tc>
      </w:tr>
      <w:tr w14:paraId="14B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135" w:type="dxa"/>
            <w:shd w:val="clear" w:color="auto" w:fill="auto"/>
            <w:vAlign w:val="center"/>
          </w:tcPr>
          <w:p w14:paraId="5B23455E">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11</w:t>
            </w:r>
          </w:p>
        </w:tc>
        <w:tc>
          <w:tcPr>
            <w:tcW w:w="1701" w:type="dxa"/>
            <w:shd w:val="clear" w:color="auto" w:fill="auto"/>
            <w:vAlign w:val="center"/>
          </w:tcPr>
          <w:p w14:paraId="73290B66">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攻防算法资源</w:t>
            </w:r>
          </w:p>
        </w:tc>
        <w:tc>
          <w:tcPr>
            <w:tcW w:w="6378" w:type="dxa"/>
            <w:shd w:val="clear" w:color="auto" w:fill="auto"/>
            <w:vAlign w:val="center"/>
          </w:tcPr>
          <w:p w14:paraId="5B55CC58">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1</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包含图像、文本、音频、表格不同模态的20种自然变换方法和20种对抗攻击方法的源码</w:t>
            </w:r>
            <w:r>
              <w:rPr>
                <w:rFonts w:hint="eastAsia" w:ascii="宋体" w:hAnsi="宋体" w:eastAsia="宋体"/>
                <w:color w:val="000000" w:themeColor="text1"/>
                <w:sz w:val="20"/>
                <w:szCs w:val="20"/>
                <w14:textFill>
                  <w14:solidFill>
                    <w14:schemeClr w14:val="tx1"/>
                  </w14:solidFill>
                </w14:textFill>
              </w:rPr>
              <w:t>；</w:t>
            </w:r>
          </w:p>
          <w:p w14:paraId="058D3E3D">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2.包含的自然变换方法有图像缩放、图像转置、图像旋转、镜像变换、局部扭曲、大小写替换</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图像素描化、图像马赛克、内容遮挡、泊松噪声、伽马噪声、指数噪声、均匀噪声等</w:t>
            </w:r>
            <w:r>
              <w:rPr>
                <w:rFonts w:hint="eastAsia" w:ascii="宋体" w:hAnsi="宋体" w:eastAsia="宋体"/>
                <w:color w:val="000000" w:themeColor="text1"/>
                <w:sz w:val="20"/>
                <w:szCs w:val="20"/>
                <w14:textFill>
                  <w14:solidFill>
                    <w14:schemeClr w14:val="tx1"/>
                  </w14:solidFill>
                </w14:textFill>
              </w:rPr>
              <w:t>；</w:t>
            </w:r>
          </w:p>
          <w:p w14:paraId="08A7499C">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3.包含的对抗攻击方法有快速梯度符号、投影梯度下降、边界攻击、牛顿梯度优化、深度欺骗、矩阵攻击</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信号攻击、零阶梯度优化、弹性网络攻击、几何决策攻击、协作攻击、决策跳跃攻击、目标检测快速梯度下降等</w:t>
            </w:r>
            <w:r>
              <w:rPr>
                <w:rFonts w:hint="eastAsia" w:ascii="宋体" w:hAnsi="宋体" w:eastAsia="宋体"/>
                <w:color w:val="000000" w:themeColor="text1"/>
                <w:sz w:val="20"/>
                <w:szCs w:val="20"/>
                <w14:textFill>
                  <w14:solidFill>
                    <w14:schemeClr w14:val="tx1"/>
                  </w14:solidFill>
                </w14:textFill>
              </w:rPr>
              <w:t>。</w:t>
            </w:r>
          </w:p>
        </w:tc>
      </w:tr>
      <w:tr w14:paraId="36C9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shd w:val="clear" w:color="auto" w:fill="auto"/>
            <w:vAlign w:val="center"/>
          </w:tcPr>
          <w:p w14:paraId="372F97C9">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12</w:t>
            </w:r>
          </w:p>
        </w:tc>
        <w:tc>
          <w:tcPr>
            <w:tcW w:w="1701" w:type="dxa"/>
            <w:shd w:val="clear" w:color="auto" w:fill="auto"/>
            <w:vAlign w:val="center"/>
          </w:tcPr>
          <w:p w14:paraId="37DED3B6">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态势感知与安全运营平台</w:t>
            </w:r>
          </w:p>
        </w:tc>
        <w:tc>
          <w:tcPr>
            <w:tcW w:w="6378" w:type="dxa"/>
            <w:shd w:val="clear" w:color="auto" w:fill="auto"/>
            <w:vAlign w:val="center"/>
          </w:tcPr>
          <w:p w14:paraId="3456E78C">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可对采集到的数据进行按照不同业务模型进行分类检测，平台引用机器学习、智能分诊、关联分析、异常行为以及情报分析能力，将多元异构信息有效转化为精准告警。</w:t>
            </w:r>
          </w:p>
          <w:p w14:paraId="10D31FD0">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基于不同场景对平台产生的告警进行进一步分析，为分析师在研判溯源环节提供能力支撑，包含自动化调查、实体分析、场景分析、</w:t>
            </w:r>
            <w:r>
              <w:rPr>
                <w:rFonts w:ascii="宋体" w:hAnsi="宋体" w:eastAsia="宋体"/>
                <w:color w:val="000000" w:themeColor="text1"/>
                <w:sz w:val="20"/>
                <w:szCs w:val="20"/>
                <w14:textFill>
                  <w14:solidFill>
                    <w14:schemeClr w14:val="tx1"/>
                  </w14:solidFill>
                </w14:textFill>
              </w:rPr>
              <w:t>QAL分析等场景，实现攻击路径的完整呈现。</w:t>
            </w:r>
          </w:p>
          <w:p w14:paraId="7A6CB0D9">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涵盖平台的资产、脆弱性、风险等运营管理能力以及其他辅助合规功能，实现对于资产风险的闭环和安全运营人员的日常工作提供辅助支撑。</w:t>
            </w:r>
          </w:p>
        </w:tc>
      </w:tr>
      <w:tr w14:paraId="2AB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shd w:val="clear" w:color="auto" w:fill="auto"/>
            <w:vAlign w:val="center"/>
          </w:tcPr>
          <w:p w14:paraId="3C3FC7DA">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13</w:t>
            </w:r>
          </w:p>
        </w:tc>
        <w:tc>
          <w:tcPr>
            <w:tcW w:w="1701" w:type="dxa"/>
            <w:shd w:val="clear" w:color="auto" w:fill="auto"/>
            <w:vAlign w:val="center"/>
          </w:tcPr>
          <w:p w14:paraId="75E2C65E">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网络流量传感器</w:t>
            </w:r>
          </w:p>
        </w:tc>
        <w:tc>
          <w:tcPr>
            <w:tcW w:w="6378" w:type="dxa"/>
            <w:shd w:val="clear" w:color="auto" w:fill="auto"/>
            <w:vAlign w:val="center"/>
          </w:tcPr>
          <w:p w14:paraId="17E0EBA1">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将流量数据、威胁数据进行采集、还原、解密、外发，能够对威胁情报、恶意文件、漏洞、应用识别等多种数据进行检测，可对</w:t>
            </w:r>
            <w:r>
              <w:rPr>
                <w:rFonts w:ascii="宋体" w:hAnsi="宋体" w:eastAsia="宋体"/>
                <w:color w:val="000000" w:themeColor="text1"/>
                <w:sz w:val="20"/>
                <w:szCs w:val="20"/>
                <w14:textFill>
                  <w14:solidFill>
                    <w14:schemeClr w14:val="tx1"/>
                  </w14:solidFill>
                </w14:textFill>
              </w:rPr>
              <w:t>HTTPS流量进行SSL解密、检测和还原等。</w:t>
            </w:r>
          </w:p>
        </w:tc>
      </w:tr>
      <w:tr w14:paraId="5324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35" w:type="dxa"/>
            <w:shd w:val="clear" w:color="auto" w:fill="auto"/>
            <w:vAlign w:val="center"/>
          </w:tcPr>
          <w:p w14:paraId="5E80F3AA">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B14</w:t>
            </w:r>
          </w:p>
        </w:tc>
        <w:tc>
          <w:tcPr>
            <w:tcW w:w="1701" w:type="dxa"/>
            <w:shd w:val="clear" w:color="auto" w:fill="auto"/>
            <w:vAlign w:val="center"/>
          </w:tcPr>
          <w:p w14:paraId="1410ABC2">
            <w:pPr>
              <w:spacing w:line="30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国际科研学术资源加速服务系统</w:t>
            </w:r>
          </w:p>
        </w:tc>
        <w:tc>
          <w:tcPr>
            <w:tcW w:w="6378" w:type="dxa"/>
            <w:shd w:val="clear" w:color="auto" w:fill="auto"/>
            <w:vAlign w:val="center"/>
          </w:tcPr>
          <w:p w14:paraId="5E99F3A3">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以硬件加速产品为载体，嵌入学校校园网络，支持旁路、串接、无线等接入模式。提供加速运维管理平台，实现域名、IP白名单控制、日志监控等功能。实现谷歌学术等国际科研学术资源访问。</w:t>
            </w:r>
          </w:p>
        </w:tc>
      </w:tr>
      <w:tr w14:paraId="647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35" w:type="dxa"/>
            <w:shd w:val="clear" w:color="auto" w:fill="auto"/>
            <w:vAlign w:val="center"/>
          </w:tcPr>
          <w:p w14:paraId="0E0ED691">
            <w:pPr>
              <w:spacing w:line="300" w:lineRule="exact"/>
              <w:ind w:firstLine="30"/>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15</w:t>
            </w:r>
          </w:p>
        </w:tc>
        <w:tc>
          <w:tcPr>
            <w:tcW w:w="1701" w:type="dxa"/>
            <w:shd w:val="clear" w:color="auto" w:fill="auto"/>
            <w:vAlign w:val="center"/>
          </w:tcPr>
          <w:p w14:paraId="6A4A2242">
            <w:pPr>
              <w:spacing w:line="300" w:lineRule="exact"/>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教</w:t>
            </w:r>
            <w:r>
              <w:rPr>
                <w:rFonts w:hint="eastAsia" w:ascii="宋体" w:hAnsi="宋体" w:eastAsia="宋体"/>
                <w:color w:val="000000" w:themeColor="text1"/>
                <w:sz w:val="20"/>
                <w:szCs w:val="20"/>
                <w14:textFill>
                  <w14:solidFill>
                    <w14:schemeClr w14:val="tx1"/>
                  </w14:solidFill>
                </w14:textFill>
              </w:rPr>
              <w:t>科网</w:t>
            </w:r>
            <w:r>
              <w:rPr>
                <w:rFonts w:ascii="宋体" w:hAnsi="宋体" w:eastAsia="宋体"/>
                <w:color w:val="000000" w:themeColor="text1"/>
                <w:sz w:val="20"/>
                <w:szCs w:val="20"/>
                <w14:textFill>
                  <w14:solidFill>
                    <w14:schemeClr w14:val="tx1"/>
                  </w14:solidFill>
                </w14:textFill>
              </w:rPr>
              <w:t>算力云服务</w:t>
            </w:r>
          </w:p>
        </w:tc>
        <w:tc>
          <w:tcPr>
            <w:tcW w:w="6378" w:type="dxa"/>
            <w:shd w:val="clear" w:color="auto" w:fill="auto"/>
            <w:vAlign w:val="center"/>
          </w:tcPr>
          <w:p w14:paraId="5AA614B7">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1</w:t>
            </w:r>
            <w:r>
              <w:rPr>
                <w:rFonts w:ascii="宋体" w:hAnsi="宋体" w:eastAsia="宋体"/>
                <w:color w:val="000000" w:themeColor="text1"/>
                <w:sz w:val="20"/>
                <w:szCs w:val="20"/>
                <w14:textFill>
                  <w14:solidFill>
                    <w14:schemeClr w14:val="tx1"/>
                  </w14:solidFill>
                </w14:textFill>
              </w:rPr>
              <w:t>.云服务器+权威解析+WEB站备案+网站迁移+网站建设</w:t>
            </w:r>
            <w:r>
              <w:rPr>
                <w:rFonts w:hint="eastAsia" w:ascii="宋体" w:hAnsi="宋体" w:eastAsia="宋体"/>
                <w:color w:val="000000" w:themeColor="text1"/>
                <w:sz w:val="20"/>
                <w:szCs w:val="20"/>
                <w14:textFill>
                  <w14:solidFill>
                    <w14:schemeClr w14:val="tx1"/>
                  </w14:solidFill>
                </w14:textFill>
              </w:rPr>
              <w:t>。</w:t>
            </w:r>
          </w:p>
          <w:p w14:paraId="344BCD29">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2</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共享型</w:t>
            </w:r>
            <w:r>
              <w:rPr>
                <w:rFonts w:ascii="宋体" w:hAnsi="宋体" w:eastAsia="宋体"/>
                <w:color w:val="000000" w:themeColor="text1"/>
                <w:sz w:val="20"/>
                <w:szCs w:val="20"/>
                <w14:textFill>
                  <w14:solidFill>
                    <w14:schemeClr w14:val="tx1"/>
                  </w14:solidFill>
                </w14:textFill>
              </w:rPr>
              <w:t>GPU算力服务器</w:t>
            </w:r>
            <w:r>
              <w:rPr>
                <w:rFonts w:hint="eastAsia" w:ascii="宋体" w:hAnsi="宋体" w:eastAsia="宋体"/>
                <w:color w:val="000000" w:themeColor="text1"/>
                <w:sz w:val="20"/>
                <w:szCs w:val="20"/>
                <w14:textFill>
                  <w14:solidFill>
                    <w14:schemeClr w14:val="tx1"/>
                  </w14:solidFill>
                </w14:textFill>
              </w:rPr>
              <w:t>。</w:t>
            </w:r>
          </w:p>
          <w:p w14:paraId="661C607D">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3</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虚拟化云电脑、云电脑管理平台。</w:t>
            </w:r>
          </w:p>
          <w:p w14:paraId="391136E9">
            <w:pPr>
              <w:spacing w:line="300" w:lineRule="exact"/>
              <w:ind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4</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信创云邮箱。</w:t>
            </w:r>
            <w:r>
              <w:rPr>
                <w:rFonts w:hint="eastAsia" w:ascii="宋体" w:hAnsi="宋体" w:eastAsia="宋体"/>
                <w:color w:val="000000" w:themeColor="text1"/>
                <w:szCs w:val="21"/>
                <w14:textFill>
                  <w14:solidFill>
                    <w14:schemeClr w14:val="tx1"/>
                  </w14:solidFill>
                </w14:textFill>
              </w:rPr>
              <w:t>为高校提供信创/</w:t>
            </w:r>
            <w:r>
              <w:rPr>
                <w:rFonts w:ascii="宋体" w:hAnsi="宋体" w:eastAsia="宋体"/>
                <w:color w:val="000000" w:themeColor="text1"/>
                <w:szCs w:val="21"/>
                <w14:textFill>
                  <w14:solidFill>
                    <w14:schemeClr w14:val="tx1"/>
                  </w14:solidFill>
                </w14:textFill>
              </w:rPr>
              <w:t>国产化</w:t>
            </w:r>
            <w:r>
              <w:rPr>
                <w:rFonts w:hint="eastAsia" w:ascii="宋体" w:hAnsi="宋体" w:eastAsia="宋体"/>
                <w:color w:val="000000" w:themeColor="text1"/>
                <w:szCs w:val="21"/>
                <w14:textFill>
                  <w14:solidFill>
                    <w14:schemeClr w14:val="tx1"/>
                  </w14:solidFill>
                </w14:textFill>
              </w:rPr>
              <w:t>邮箱</w:t>
            </w:r>
            <w:r>
              <w:rPr>
                <w:rFonts w:ascii="宋体" w:hAnsi="宋体" w:eastAsia="宋体"/>
                <w:color w:val="000000" w:themeColor="text1"/>
                <w:szCs w:val="21"/>
                <w14:textFill>
                  <w14:solidFill>
                    <w14:schemeClr w14:val="tx1"/>
                  </w14:solidFill>
                </w14:textFill>
              </w:rPr>
              <w:t>解决方案</w:t>
            </w:r>
            <w:r>
              <w:rPr>
                <w:rFonts w:hint="eastAsia" w:ascii="宋体" w:hAnsi="宋体" w:eastAsia="宋体"/>
                <w:color w:val="000000" w:themeColor="text1"/>
                <w:szCs w:val="21"/>
                <w14:textFill>
                  <w14:solidFill>
                    <w14:schemeClr w14:val="tx1"/>
                  </w14:solidFill>
                </w14:textFill>
              </w:rPr>
              <w:t>。</w:t>
            </w:r>
          </w:p>
        </w:tc>
      </w:tr>
    </w:tbl>
    <w:p w14:paraId="25CE79D8">
      <w:pPr>
        <w:spacing w:line="480" w:lineRule="exact"/>
        <w:rPr>
          <w:color w:val="000000" w:themeColor="text1"/>
          <w14:textFill>
            <w14:solidFill>
              <w14:schemeClr w14:val="tx1"/>
            </w14:solidFill>
          </w14:textFill>
        </w:rPr>
      </w:pPr>
    </w:p>
    <w:p w14:paraId="44FFF66E">
      <w:pPr>
        <w:widowControl/>
        <w:spacing w:line="480" w:lineRule="exact"/>
        <w:ind w:firstLine="560" w:firstLineChars="200"/>
        <w:contextualSpacing/>
        <w:outlineLvl w:val="1"/>
        <w:rPr>
          <w:rFonts w:ascii="Times New Roman" w:hAnsi="Times New Roman" w:eastAsia="微软雅黑" w:cs="Times New Roman"/>
          <w:b/>
          <w:bCs/>
          <w:iCs/>
          <w:color w:val="000000" w:themeColor="text1"/>
          <w:kern w:val="0"/>
          <w:sz w:val="28"/>
          <w14:textFill>
            <w14:solidFill>
              <w14:schemeClr w14:val="tx1"/>
            </w14:solidFill>
          </w14:textFill>
        </w:rPr>
      </w:pPr>
      <w:r>
        <w:rPr>
          <w:rFonts w:hint="eastAsia" w:ascii="Times New Roman" w:hAnsi="Times New Roman" w:eastAsia="微软雅黑" w:cs="Times New Roman"/>
          <w:b/>
          <w:bCs/>
          <w:iCs/>
          <w:color w:val="000000" w:themeColor="text1"/>
          <w:kern w:val="0"/>
          <w:sz w:val="28"/>
          <w14:textFill>
            <w14:solidFill>
              <w14:schemeClr w14:val="tx1"/>
            </w14:solidFill>
          </w14:textFill>
        </w:rPr>
        <w:t>四、课题申报说明</w:t>
      </w:r>
    </w:p>
    <w:p w14:paraId="2A9DA8A3">
      <w:pPr>
        <w:widowControl/>
        <w:snapToGrid w:val="0"/>
        <w:spacing w:line="480" w:lineRule="exact"/>
        <w:ind w:firstLine="480" w:firstLineChars="200"/>
        <w:contextualSpacing/>
        <w:outlineLvl w:val="1"/>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1.</w:t>
      </w:r>
      <w:r>
        <w:rPr>
          <w:rFonts w:ascii="宋体" w:hAnsi="宋体" w:eastAsia="宋体"/>
          <w:color w:val="000000" w:themeColor="text1"/>
          <w:kern w:val="0"/>
          <w:sz w:val="24"/>
          <w:szCs w:val="24"/>
          <w14:textFill>
            <w14:solidFill>
              <w14:schemeClr w14:val="tx1"/>
            </w14:solidFill>
          </w14:textFill>
        </w:rPr>
        <w:t xml:space="preserve"> </w:t>
      </w:r>
      <w:r>
        <w:rPr>
          <w:rFonts w:hint="eastAsia" w:ascii="宋体" w:hAnsi="宋体" w:eastAsia="宋体"/>
          <w:color w:val="000000" w:themeColor="text1"/>
          <w:kern w:val="0"/>
          <w:sz w:val="24"/>
          <w:szCs w:val="24"/>
          <w14:textFill>
            <w14:solidFill>
              <w14:schemeClr w14:val="tx1"/>
            </w14:solidFill>
          </w14:textFill>
        </w:rPr>
        <w:t>申请人须仔细阅读申请指南，按照指南详细填写申请书，填写不合要求的课题会按照格式不符合</w:t>
      </w:r>
      <w:r>
        <w:rPr>
          <w:rFonts w:hint="eastAsia" w:ascii="宋体" w:hAnsi="宋体" w:eastAsia="宋体" w:cs="Times New Roman"/>
          <w:iCs/>
          <w:color w:val="000000" w:themeColor="text1"/>
          <w:kern w:val="0"/>
          <w:sz w:val="24"/>
          <w:szCs w:val="24"/>
          <w14:textFill>
            <w14:solidFill>
              <w14:schemeClr w14:val="tx1"/>
            </w14:solidFill>
          </w14:textFill>
        </w:rPr>
        <w:t>要求</w:t>
      </w:r>
      <w:r>
        <w:rPr>
          <w:rFonts w:hint="eastAsia" w:ascii="宋体" w:hAnsi="宋体" w:eastAsia="宋体"/>
          <w:color w:val="000000" w:themeColor="text1"/>
          <w:kern w:val="0"/>
          <w:sz w:val="24"/>
          <w:szCs w:val="24"/>
          <w14:textFill>
            <w14:solidFill>
              <w14:schemeClr w14:val="tx1"/>
            </w14:solidFill>
          </w14:textFill>
        </w:rPr>
        <w:t>处理。</w:t>
      </w:r>
    </w:p>
    <w:p w14:paraId="7D5B4469">
      <w:pPr>
        <w:widowControl/>
        <w:snapToGrid w:val="0"/>
        <w:spacing w:line="480" w:lineRule="exact"/>
        <w:ind w:firstLine="480" w:firstLineChars="200"/>
        <w:contextualSpacing/>
        <w:outlineLvl w:val="1"/>
        <w:rPr>
          <w:rFonts w:ascii="宋体" w:hAnsi="宋体" w:eastAsia="宋体" w:cs="Times New Roman"/>
          <w:iCs/>
          <w:color w:val="000000" w:themeColor="text1"/>
          <w:kern w:val="0"/>
          <w:sz w:val="24"/>
          <w:szCs w:val="24"/>
          <w14:textFill>
            <w14:solidFill>
              <w14:schemeClr w14:val="tx1"/>
            </w14:solidFill>
          </w14:textFill>
        </w:rPr>
      </w:pPr>
      <w:r>
        <w:rPr>
          <w:rFonts w:hint="eastAsia" w:ascii="宋体" w:hAnsi="宋体" w:eastAsia="宋体" w:cs="Times New Roman"/>
          <w:iCs/>
          <w:color w:val="000000" w:themeColor="text1"/>
          <w:kern w:val="0"/>
          <w:sz w:val="24"/>
          <w:szCs w:val="24"/>
          <w14:textFill>
            <w14:solidFill>
              <w14:schemeClr w14:val="tx1"/>
            </w14:solidFill>
          </w14:textFill>
        </w:rPr>
        <w:t>2.</w:t>
      </w:r>
      <w:r>
        <w:rPr>
          <w:rFonts w:ascii="宋体" w:hAnsi="宋体" w:eastAsia="宋体" w:cs="Times New Roman"/>
          <w:iCs/>
          <w:color w:val="000000" w:themeColor="text1"/>
          <w:kern w:val="0"/>
          <w:sz w:val="24"/>
          <w:szCs w:val="24"/>
          <w14:textFill>
            <w14:solidFill>
              <w14:schemeClr w14:val="tx1"/>
            </w14:solidFill>
          </w14:textFill>
        </w:rPr>
        <w:t xml:space="preserve"> </w:t>
      </w:r>
      <w:r>
        <w:rPr>
          <w:rFonts w:hint="eastAsia" w:ascii="宋体" w:hAnsi="宋体" w:eastAsia="宋体" w:cs="Times New Roman"/>
          <w:iCs/>
          <w:color w:val="000000" w:themeColor="text1"/>
          <w:kern w:val="0"/>
          <w:sz w:val="24"/>
          <w:szCs w:val="24"/>
          <w14:textFill>
            <w14:solidFill>
              <w14:schemeClr w14:val="tx1"/>
            </w14:solidFill>
          </w14:textFill>
        </w:rPr>
        <w:t>请各课题申请人按要求填写申请书（申请书中手机和邮箱必须填写），加盖公章及签字后扫描上传至：</w:t>
      </w:r>
      <w:r>
        <w:rPr>
          <w:rFonts w:ascii="Times New Roman" w:hAnsi="Times New Roman" w:eastAsia="宋体" w:cs="Times New Roman"/>
          <w:bCs/>
          <w:iCs/>
          <w:color w:val="000000" w:themeColor="text1"/>
          <w:kern w:val="0"/>
          <w:sz w:val="24"/>
          <w:szCs w:val="24"/>
          <w14:textFill>
            <w14:solidFill>
              <w14:schemeClr w14:val="tx1"/>
            </w14:solidFill>
          </w14:textFill>
        </w:rPr>
        <w:t>http</w:t>
      </w:r>
      <w:r>
        <w:rPr>
          <w:rFonts w:hint="eastAsia" w:ascii="Times New Roman" w:hAnsi="Times New Roman" w:eastAsia="宋体" w:cs="Times New Roman"/>
          <w:bCs/>
          <w:iCs/>
          <w:color w:val="000000" w:themeColor="text1"/>
          <w:kern w:val="0"/>
          <w:sz w:val="24"/>
          <w:szCs w:val="24"/>
          <w14:textFill>
            <w14:solidFill>
              <w14:schemeClr w14:val="tx1"/>
            </w14:solidFill>
          </w14:textFill>
        </w:rPr>
        <w:t>s</w:t>
      </w:r>
      <w:r>
        <w:rPr>
          <w:rFonts w:ascii="Times New Roman" w:hAnsi="Times New Roman" w:eastAsia="宋体" w:cs="Times New Roman"/>
          <w:bCs/>
          <w:iCs/>
          <w:color w:val="000000" w:themeColor="text1"/>
          <w:kern w:val="0"/>
          <w:sz w:val="24"/>
          <w:szCs w:val="24"/>
          <w14:textFill>
            <w14:solidFill>
              <w14:schemeClr w14:val="tx1"/>
            </w14:solidFill>
          </w14:textFill>
        </w:rPr>
        <w:t>://cxjj.cutech.edu.cn</w:t>
      </w:r>
      <w:r>
        <w:rPr>
          <w:rFonts w:hint="eastAsia" w:ascii="宋体" w:hAnsi="宋体" w:eastAsia="宋体" w:cs="Times New Roman"/>
          <w:bCs/>
          <w:iCs/>
          <w:color w:val="000000" w:themeColor="text1"/>
          <w:kern w:val="0"/>
          <w:sz w:val="24"/>
          <w:szCs w:val="24"/>
          <w14:textFill>
            <w14:solidFill>
              <w14:schemeClr w14:val="tx1"/>
            </w14:solidFill>
          </w14:textFill>
        </w:rPr>
        <w:t>；</w:t>
      </w:r>
      <w:r>
        <w:rPr>
          <w:rFonts w:hint="eastAsia" w:ascii="宋体" w:hAnsi="宋体" w:eastAsia="宋体" w:cs="Times New Roman"/>
          <w:iCs/>
          <w:color w:val="000000" w:themeColor="text1"/>
          <w:kern w:val="0"/>
          <w:sz w:val="24"/>
          <w:szCs w:val="24"/>
          <w14:textFill>
            <w14:solidFill>
              <w14:schemeClr w14:val="tx1"/>
            </w14:solidFill>
          </w14:textFill>
        </w:rPr>
        <w:t>为方便评审，申请书扫描件请按以下命名规则命名：学校名称+申请人姓名。</w:t>
      </w:r>
    </w:p>
    <w:p w14:paraId="315C7020">
      <w:pPr>
        <w:widowControl/>
        <w:snapToGrid w:val="0"/>
        <w:spacing w:line="480" w:lineRule="exact"/>
        <w:ind w:firstLine="480" w:firstLineChars="200"/>
        <w:contextualSpacing/>
        <w:outlineLvl w:val="1"/>
        <w:rPr>
          <w:rFonts w:ascii="宋体" w:hAnsi="宋体" w:eastAsia="宋体" w:cs="Times New Roman"/>
          <w:iCs/>
          <w:color w:val="000000" w:themeColor="text1"/>
          <w:kern w:val="0"/>
          <w:sz w:val="24"/>
          <w:szCs w:val="24"/>
          <w14:textFill>
            <w14:solidFill>
              <w14:schemeClr w14:val="tx1"/>
            </w14:solidFill>
          </w14:textFill>
        </w:rPr>
      </w:pPr>
      <w:r>
        <w:rPr>
          <w:rFonts w:hint="eastAsia" w:ascii="宋体" w:hAnsi="宋体" w:eastAsia="宋体" w:cs="Times New Roman"/>
          <w:iCs/>
          <w:color w:val="000000" w:themeColor="text1"/>
          <w:kern w:val="0"/>
          <w:sz w:val="24"/>
          <w:szCs w:val="24"/>
          <w14:textFill>
            <w14:solidFill>
              <w14:schemeClr w14:val="tx1"/>
            </w14:solidFill>
          </w14:textFill>
        </w:rPr>
        <w:t>3. 申请书书面材料一份，邮寄至：北京市海淀区中关村大街35号80</w:t>
      </w:r>
      <w:r>
        <w:rPr>
          <w:rFonts w:ascii="宋体" w:hAnsi="宋体" w:eastAsia="宋体" w:cs="Times New Roman"/>
          <w:iCs/>
          <w:color w:val="000000" w:themeColor="text1"/>
          <w:kern w:val="0"/>
          <w:sz w:val="24"/>
          <w:szCs w:val="24"/>
          <w14:textFill>
            <w14:solidFill>
              <w14:schemeClr w14:val="tx1"/>
            </w14:solidFill>
          </w14:textFill>
        </w:rPr>
        <w:t>3</w:t>
      </w:r>
      <w:r>
        <w:rPr>
          <w:rFonts w:hint="eastAsia" w:ascii="宋体" w:hAnsi="宋体" w:eastAsia="宋体" w:cs="Times New Roman"/>
          <w:iCs/>
          <w:color w:val="000000" w:themeColor="text1"/>
          <w:kern w:val="0"/>
          <w:sz w:val="24"/>
          <w:szCs w:val="24"/>
          <w14:textFill>
            <w14:solidFill>
              <w14:schemeClr w14:val="tx1"/>
            </w14:solidFill>
          </w14:textFill>
        </w:rPr>
        <w:t>室，教育部高等学校科学研究发展中心信息化研究发展处。</w:t>
      </w:r>
    </w:p>
    <w:p w14:paraId="42463864">
      <w:pPr>
        <w:widowControl/>
        <w:snapToGrid w:val="0"/>
        <w:spacing w:line="480" w:lineRule="exact"/>
        <w:ind w:firstLine="480" w:firstLineChars="200"/>
        <w:contextualSpacing/>
        <w:outlineLvl w:val="1"/>
        <w:rPr>
          <w:rFonts w:ascii="宋体" w:hAnsi="宋体" w:eastAsia="宋体" w:cs="Times New Roman"/>
          <w:iCs/>
          <w:color w:val="000000" w:themeColor="text1"/>
          <w:kern w:val="0"/>
          <w:sz w:val="24"/>
          <w:szCs w:val="24"/>
          <w14:textFill>
            <w14:solidFill>
              <w14:schemeClr w14:val="tx1"/>
            </w14:solidFill>
          </w14:textFill>
        </w:rPr>
      </w:pPr>
      <w:r>
        <w:rPr>
          <w:rFonts w:hint="eastAsia" w:ascii="宋体" w:hAnsi="宋体" w:eastAsia="宋体" w:cs="Times New Roman"/>
          <w:iCs/>
          <w:color w:val="000000" w:themeColor="text1"/>
          <w:kern w:val="0"/>
          <w:sz w:val="24"/>
          <w:szCs w:val="24"/>
          <w14:textFill>
            <w14:solidFill>
              <w14:schemeClr w14:val="tx1"/>
            </w14:solidFill>
          </w14:textFill>
        </w:rPr>
        <w:t>4</w:t>
      </w:r>
      <w:r>
        <w:rPr>
          <w:rFonts w:ascii="宋体" w:hAnsi="宋体" w:eastAsia="宋体" w:cs="Times New Roman"/>
          <w:iCs/>
          <w:color w:val="000000" w:themeColor="text1"/>
          <w:kern w:val="0"/>
          <w:sz w:val="24"/>
          <w:szCs w:val="24"/>
          <w14:textFill>
            <w14:solidFill>
              <w14:schemeClr w14:val="tx1"/>
            </w14:solidFill>
          </w14:textFill>
        </w:rPr>
        <w:t xml:space="preserve">. </w:t>
      </w:r>
      <w:r>
        <w:rPr>
          <w:rFonts w:hint="eastAsia" w:ascii="宋体" w:hAnsi="宋体" w:eastAsia="宋体" w:cs="Times New Roman"/>
          <w:iCs/>
          <w:color w:val="000000" w:themeColor="text1"/>
          <w:kern w:val="0"/>
          <w:sz w:val="24"/>
          <w:szCs w:val="24"/>
          <w14:textFill>
            <w14:solidFill>
              <w14:schemeClr w14:val="tx1"/>
            </w14:solidFill>
          </w14:textFill>
        </w:rPr>
        <w:t>申请截止时间为2025年</w:t>
      </w:r>
      <w:r>
        <w:rPr>
          <w:rFonts w:ascii="宋体" w:hAnsi="宋体" w:eastAsia="宋体" w:cs="Times New Roman"/>
          <w:iCs/>
          <w:color w:val="000000" w:themeColor="text1"/>
          <w:kern w:val="0"/>
          <w:sz w:val="24"/>
          <w:szCs w:val="24"/>
          <w14:textFill>
            <w14:solidFill>
              <w14:schemeClr w14:val="tx1"/>
            </w14:solidFill>
          </w14:textFill>
        </w:rPr>
        <w:t>12</w:t>
      </w:r>
      <w:r>
        <w:rPr>
          <w:rFonts w:hint="eastAsia" w:ascii="宋体" w:hAnsi="宋体" w:eastAsia="宋体" w:cs="Times New Roman"/>
          <w:iCs/>
          <w:color w:val="000000" w:themeColor="text1"/>
          <w:kern w:val="0"/>
          <w:sz w:val="24"/>
          <w:szCs w:val="24"/>
          <w14:textFill>
            <w14:solidFill>
              <w14:schemeClr w14:val="tx1"/>
            </w14:solidFill>
          </w14:textFill>
        </w:rPr>
        <w:t>月</w:t>
      </w:r>
      <w:r>
        <w:rPr>
          <w:rFonts w:ascii="宋体" w:hAnsi="宋体" w:eastAsia="宋体" w:cs="Times New Roman"/>
          <w:iCs/>
          <w:color w:val="000000" w:themeColor="text1"/>
          <w:kern w:val="0"/>
          <w:sz w:val="24"/>
          <w:szCs w:val="24"/>
          <w14:textFill>
            <w14:solidFill>
              <w14:schemeClr w14:val="tx1"/>
            </w14:solidFill>
          </w14:textFill>
        </w:rPr>
        <w:t>15</w:t>
      </w:r>
      <w:r>
        <w:rPr>
          <w:rFonts w:hint="eastAsia" w:ascii="宋体" w:hAnsi="宋体" w:eastAsia="宋体" w:cs="Times New Roman"/>
          <w:iCs/>
          <w:color w:val="000000" w:themeColor="text1"/>
          <w:kern w:val="0"/>
          <w:sz w:val="24"/>
          <w:szCs w:val="24"/>
          <w14:textFill>
            <w14:solidFill>
              <w14:schemeClr w14:val="tx1"/>
            </w14:solidFill>
          </w14:textFill>
        </w:rPr>
        <w:t>日。</w:t>
      </w:r>
    </w:p>
    <w:p w14:paraId="1AEE3A15">
      <w:pPr>
        <w:widowControl/>
        <w:snapToGrid w:val="0"/>
        <w:spacing w:line="480" w:lineRule="exact"/>
        <w:ind w:firstLine="480" w:firstLineChars="200"/>
        <w:contextualSpacing/>
        <w:outlineLvl w:val="1"/>
        <w:rPr>
          <w:rFonts w:ascii="宋体" w:hAnsi="宋体" w:eastAsia="宋体" w:cs="Times New Roman"/>
          <w:iCs/>
          <w:color w:val="000000" w:themeColor="text1"/>
          <w:kern w:val="0"/>
          <w:sz w:val="24"/>
          <w:szCs w:val="24"/>
          <w14:textFill>
            <w14:solidFill>
              <w14:schemeClr w14:val="tx1"/>
            </w14:solidFill>
          </w14:textFill>
        </w:rPr>
      </w:pPr>
      <w:r>
        <w:rPr>
          <w:rFonts w:ascii="宋体" w:hAnsi="宋体" w:eastAsia="宋体" w:cs="Times New Roman"/>
          <w:iCs/>
          <w:color w:val="000000" w:themeColor="text1"/>
          <w:kern w:val="0"/>
          <w:sz w:val="24"/>
          <w:szCs w:val="24"/>
          <w14:textFill>
            <w14:solidFill>
              <w14:schemeClr w14:val="tx1"/>
            </w14:solidFill>
          </w14:textFill>
        </w:rPr>
        <w:t>5</w:t>
      </w:r>
      <w:r>
        <w:rPr>
          <w:rFonts w:hint="eastAsia" w:ascii="宋体" w:hAnsi="宋体" w:eastAsia="宋体" w:cs="Times New Roman"/>
          <w:iCs/>
          <w:color w:val="000000" w:themeColor="text1"/>
          <w:kern w:val="0"/>
          <w:sz w:val="24"/>
          <w:szCs w:val="24"/>
          <w14:textFill>
            <w14:solidFill>
              <w14:schemeClr w14:val="tx1"/>
            </w14:solidFill>
          </w14:textFill>
        </w:rPr>
        <w:t>. 课题的执行时间为202</w:t>
      </w:r>
      <w:r>
        <w:rPr>
          <w:rFonts w:ascii="宋体" w:hAnsi="宋体" w:eastAsia="宋体" w:cs="Times New Roman"/>
          <w:iCs/>
          <w:color w:val="000000" w:themeColor="text1"/>
          <w:kern w:val="0"/>
          <w:sz w:val="24"/>
          <w:szCs w:val="24"/>
          <w14:textFill>
            <w14:solidFill>
              <w14:schemeClr w14:val="tx1"/>
            </w14:solidFill>
          </w14:textFill>
        </w:rPr>
        <w:t>6</w:t>
      </w:r>
      <w:r>
        <w:rPr>
          <w:rFonts w:hint="eastAsia" w:ascii="宋体" w:hAnsi="宋体" w:eastAsia="宋体" w:cs="Times New Roman"/>
          <w:iCs/>
          <w:color w:val="000000" w:themeColor="text1"/>
          <w:kern w:val="0"/>
          <w:sz w:val="24"/>
          <w:szCs w:val="24"/>
          <w14:textFill>
            <w14:solidFill>
              <w14:schemeClr w14:val="tx1"/>
            </w14:solidFill>
          </w14:textFill>
        </w:rPr>
        <w:t>年</w:t>
      </w:r>
      <w:r>
        <w:rPr>
          <w:rFonts w:ascii="宋体" w:hAnsi="宋体" w:eastAsia="宋体" w:cs="Times New Roman"/>
          <w:iCs/>
          <w:color w:val="000000" w:themeColor="text1"/>
          <w:kern w:val="0"/>
          <w:sz w:val="24"/>
          <w:szCs w:val="24"/>
          <w14:textFill>
            <w14:solidFill>
              <w14:schemeClr w14:val="tx1"/>
            </w14:solidFill>
          </w14:textFill>
        </w:rPr>
        <w:t>4</w:t>
      </w:r>
      <w:r>
        <w:rPr>
          <w:rFonts w:hint="eastAsia" w:ascii="宋体" w:hAnsi="宋体" w:eastAsia="宋体" w:cs="Times New Roman"/>
          <w:iCs/>
          <w:color w:val="000000" w:themeColor="text1"/>
          <w:kern w:val="0"/>
          <w:sz w:val="24"/>
          <w:szCs w:val="24"/>
          <w14:textFill>
            <w14:solidFill>
              <w14:schemeClr w14:val="tx1"/>
            </w14:solidFill>
          </w14:textFill>
        </w:rPr>
        <w:t>月1日～202</w:t>
      </w:r>
      <w:r>
        <w:rPr>
          <w:rFonts w:ascii="宋体" w:hAnsi="宋体" w:eastAsia="宋体" w:cs="Times New Roman"/>
          <w:iCs/>
          <w:color w:val="000000" w:themeColor="text1"/>
          <w:kern w:val="0"/>
          <w:sz w:val="24"/>
          <w:szCs w:val="24"/>
          <w14:textFill>
            <w14:solidFill>
              <w14:schemeClr w14:val="tx1"/>
            </w14:solidFill>
          </w14:textFill>
        </w:rPr>
        <w:t>7</w:t>
      </w:r>
      <w:r>
        <w:rPr>
          <w:rFonts w:hint="eastAsia" w:ascii="宋体" w:hAnsi="宋体" w:eastAsia="宋体" w:cs="Times New Roman"/>
          <w:iCs/>
          <w:color w:val="000000" w:themeColor="text1"/>
          <w:kern w:val="0"/>
          <w:sz w:val="24"/>
          <w:szCs w:val="24"/>
          <w14:textFill>
            <w14:solidFill>
              <w14:schemeClr w14:val="tx1"/>
            </w14:solidFill>
          </w14:textFill>
        </w:rPr>
        <w:t>年</w:t>
      </w:r>
      <w:r>
        <w:rPr>
          <w:rFonts w:ascii="宋体" w:hAnsi="宋体" w:eastAsia="宋体" w:cs="Times New Roman"/>
          <w:iCs/>
          <w:color w:val="000000" w:themeColor="text1"/>
          <w:kern w:val="0"/>
          <w:sz w:val="24"/>
          <w:szCs w:val="24"/>
          <w14:textFill>
            <w14:solidFill>
              <w14:schemeClr w14:val="tx1"/>
            </w14:solidFill>
          </w14:textFill>
        </w:rPr>
        <w:t>3</w:t>
      </w:r>
      <w:r>
        <w:rPr>
          <w:rFonts w:hint="eastAsia" w:ascii="宋体" w:hAnsi="宋体" w:eastAsia="宋体" w:cs="Times New Roman"/>
          <w:iCs/>
          <w:color w:val="000000" w:themeColor="text1"/>
          <w:kern w:val="0"/>
          <w:sz w:val="24"/>
          <w:szCs w:val="24"/>
          <w14:textFill>
            <w14:solidFill>
              <w14:schemeClr w14:val="tx1"/>
            </w14:solidFill>
          </w14:textFill>
        </w:rPr>
        <w:t>月</w:t>
      </w:r>
      <w:r>
        <w:rPr>
          <w:rFonts w:ascii="宋体" w:hAnsi="宋体" w:eastAsia="宋体" w:cs="Times New Roman"/>
          <w:iCs/>
          <w:color w:val="000000" w:themeColor="text1"/>
          <w:kern w:val="0"/>
          <w:sz w:val="24"/>
          <w:szCs w:val="24"/>
          <w14:textFill>
            <w14:solidFill>
              <w14:schemeClr w14:val="tx1"/>
            </w14:solidFill>
          </w14:textFill>
        </w:rPr>
        <w:t>31</w:t>
      </w:r>
      <w:r>
        <w:rPr>
          <w:rFonts w:hint="eastAsia" w:ascii="宋体" w:hAnsi="宋体" w:eastAsia="宋体" w:cs="Times New Roman"/>
          <w:iCs/>
          <w:color w:val="000000" w:themeColor="text1"/>
          <w:kern w:val="0"/>
          <w:sz w:val="24"/>
          <w:szCs w:val="24"/>
          <w14:textFill>
            <w14:solidFill>
              <w14:schemeClr w14:val="tx1"/>
            </w14:solidFill>
          </w14:textFill>
        </w:rPr>
        <w:t>日，可根据课题复杂程度适度延长执行周期，最长不超过两年。</w:t>
      </w:r>
    </w:p>
    <w:p w14:paraId="403704BB">
      <w:pPr>
        <w:widowControl/>
        <w:snapToGrid w:val="0"/>
        <w:spacing w:line="480" w:lineRule="exact"/>
        <w:ind w:firstLine="480" w:firstLineChars="200"/>
        <w:contextualSpacing/>
        <w:outlineLvl w:val="1"/>
        <w:rPr>
          <w:rFonts w:ascii="宋体" w:hAnsi="宋体" w:eastAsia="宋体" w:cs="Times New Roman"/>
          <w:iCs/>
          <w:color w:val="000000" w:themeColor="text1"/>
          <w:kern w:val="0"/>
          <w:sz w:val="24"/>
          <w:szCs w:val="24"/>
          <w14:textFill>
            <w14:solidFill>
              <w14:schemeClr w14:val="tx1"/>
            </w14:solidFill>
          </w14:textFill>
        </w:rPr>
      </w:pPr>
      <w:r>
        <w:rPr>
          <w:rFonts w:ascii="宋体" w:hAnsi="宋体" w:eastAsia="宋体" w:cs="Times New Roman"/>
          <w:iCs/>
          <w:color w:val="000000" w:themeColor="text1"/>
          <w:kern w:val="0"/>
          <w:sz w:val="24"/>
          <w:szCs w:val="24"/>
          <w14:textFill>
            <w14:solidFill>
              <w14:schemeClr w14:val="tx1"/>
            </w14:solidFill>
          </w14:textFill>
        </w:rPr>
        <w:t xml:space="preserve">6. </w:t>
      </w:r>
      <w:r>
        <w:rPr>
          <w:rFonts w:hint="eastAsia" w:ascii="宋体" w:hAnsi="宋体" w:eastAsia="宋体" w:cs="Times New Roman"/>
          <w:iCs/>
          <w:color w:val="000000" w:themeColor="text1"/>
          <w:kern w:val="0"/>
          <w:sz w:val="24"/>
          <w:szCs w:val="24"/>
          <w14:textFill>
            <w14:solidFill>
              <w14:schemeClr w14:val="tx1"/>
            </w14:solidFill>
          </w14:textFill>
        </w:rPr>
        <w:t>每位申报人限报一项课题。</w:t>
      </w:r>
    </w:p>
    <w:p w14:paraId="19BD5041">
      <w:pPr>
        <w:widowControl/>
        <w:snapToGrid w:val="0"/>
        <w:spacing w:line="480" w:lineRule="exact"/>
        <w:ind w:firstLine="480" w:firstLineChars="200"/>
        <w:rPr>
          <w:rFonts w:ascii="宋体" w:hAnsi="宋体" w:eastAsia="宋体"/>
          <w:b/>
          <w:bCs/>
          <w:color w:val="000000" w:themeColor="text1"/>
          <w:kern w:val="0"/>
          <w:sz w:val="24"/>
          <w:szCs w:val="24"/>
          <w14:textFill>
            <w14:solidFill>
              <w14:schemeClr w14:val="tx1"/>
            </w14:solidFill>
          </w14:textFill>
        </w:rPr>
      </w:pPr>
      <w:r>
        <w:rPr>
          <w:rFonts w:ascii="宋体" w:hAnsi="宋体" w:eastAsia="宋体" w:cs="Times New Roman"/>
          <w:iCs/>
          <w:color w:val="000000" w:themeColor="text1"/>
          <w:kern w:val="0"/>
          <w:sz w:val="24"/>
          <w:szCs w:val="24"/>
          <w14:textFill>
            <w14:solidFill>
              <w14:schemeClr w14:val="tx1"/>
            </w14:solidFill>
          </w14:textFill>
        </w:rPr>
        <w:t xml:space="preserve">7. </w:t>
      </w:r>
      <w:r>
        <w:rPr>
          <w:rFonts w:hint="eastAsia" w:ascii="宋体" w:hAnsi="宋体" w:eastAsia="宋体"/>
          <w:color w:val="000000" w:themeColor="text1"/>
          <w:kern w:val="0"/>
          <w:sz w:val="24"/>
          <w:szCs w:val="24"/>
          <w14:textFill>
            <w14:solidFill>
              <w14:schemeClr w14:val="tx1"/>
            </w14:solidFill>
          </w14:textFill>
        </w:rPr>
        <w:t>课题选题列表上的选题方向都不限定课题数量，但是如果存在内容重复的相似课题，专家组将根据课题组技术积累、课题方案、课题支撑条件等要素择优选择资助课题。</w:t>
      </w:r>
    </w:p>
    <w:p w14:paraId="0EBC8AAF">
      <w:pPr>
        <w:widowControl/>
        <w:adjustRightInd w:val="0"/>
        <w:snapToGrid w:val="0"/>
        <w:spacing w:line="480" w:lineRule="exact"/>
        <w:ind w:firstLine="480" w:firstLineChars="200"/>
        <w:outlineLvl w:val="1"/>
        <w:rPr>
          <w:rFonts w:ascii="Times New Roman" w:hAnsi="Times New Roman" w:eastAsia="微软雅黑" w:cs="Times New Roman"/>
          <w:b/>
          <w:bCs/>
          <w:iCs/>
          <w:color w:val="000000" w:themeColor="text1"/>
          <w:kern w:val="0"/>
          <w:sz w:val="28"/>
          <w14:textFill>
            <w14:solidFill>
              <w14:schemeClr w14:val="tx1"/>
            </w14:solidFill>
          </w14:textFill>
        </w:rPr>
      </w:pPr>
      <w:r>
        <w:rPr>
          <w:rFonts w:ascii="宋体" w:hAnsi="宋体" w:eastAsia="宋体" w:cs="Times New Roman"/>
          <w:iCs/>
          <w:color w:val="000000" w:themeColor="text1"/>
          <w:kern w:val="0"/>
          <w:sz w:val="24"/>
          <w:szCs w:val="24"/>
          <w14:textFill>
            <w14:solidFill>
              <w14:schemeClr w14:val="tx1"/>
            </w14:solidFill>
          </w14:textFill>
        </w:rPr>
        <w:t>8</w:t>
      </w:r>
      <w:r>
        <w:rPr>
          <w:rFonts w:hint="eastAsia" w:ascii="宋体" w:hAnsi="宋体" w:eastAsia="宋体" w:cs="Times New Roman"/>
          <w:iCs/>
          <w:color w:val="000000" w:themeColor="text1"/>
          <w:kern w:val="0"/>
          <w:sz w:val="24"/>
          <w:szCs w:val="24"/>
          <w14:textFill>
            <w14:solidFill>
              <w14:schemeClr w14:val="tx1"/>
            </w14:solidFill>
          </w14:textFill>
        </w:rPr>
        <w:t>.</w:t>
      </w:r>
      <w:r>
        <w:rPr>
          <w:rFonts w:ascii="宋体" w:hAnsi="宋体" w:eastAsia="宋体" w:cs="Times New Roman"/>
          <w:iCs/>
          <w:color w:val="000000" w:themeColor="text1"/>
          <w:kern w:val="0"/>
          <w:sz w:val="24"/>
          <w:szCs w:val="24"/>
          <w14:textFill>
            <w14:solidFill>
              <w14:schemeClr w14:val="tx1"/>
            </w14:solidFill>
          </w14:textFill>
        </w:rPr>
        <w:t xml:space="preserve"> </w:t>
      </w:r>
      <w:r>
        <w:rPr>
          <w:rFonts w:hint="eastAsia" w:ascii="宋体" w:hAnsi="宋体" w:eastAsia="宋体" w:cs="Times New Roman"/>
          <w:iCs/>
          <w:color w:val="000000" w:themeColor="text1"/>
          <w:kern w:val="0"/>
          <w:sz w:val="24"/>
          <w:szCs w:val="24"/>
          <w14:textFill>
            <w14:solidFill>
              <w14:schemeClr w14:val="tx1"/>
            </w14:solidFill>
          </w14:textFill>
        </w:rPr>
        <w:t>如果以联合课题组的形式申请课题，需要列明不同学校单位的课题任务。</w:t>
      </w:r>
    </w:p>
    <w:p w14:paraId="72211079">
      <w:pPr>
        <w:widowControl/>
        <w:snapToGrid w:val="0"/>
        <w:spacing w:line="480" w:lineRule="exact"/>
        <w:ind w:firstLine="480" w:firstLineChars="200"/>
        <w:contextualSpacing/>
        <w:outlineLvl w:val="1"/>
        <w:rPr>
          <w:rFonts w:ascii="宋体" w:hAnsi="宋体" w:eastAsia="宋体" w:cs="Times New Roman"/>
          <w:bCs/>
          <w:iCs/>
          <w:color w:val="000000" w:themeColor="text1"/>
          <w:kern w:val="0"/>
          <w:sz w:val="24"/>
          <w:szCs w:val="24"/>
          <w14:textFill>
            <w14:solidFill>
              <w14:schemeClr w14:val="tx1"/>
            </w14:solidFill>
          </w14:textFill>
        </w:rPr>
      </w:pPr>
      <w:r>
        <w:rPr>
          <w:rFonts w:ascii="宋体" w:hAnsi="宋体" w:eastAsia="宋体" w:cs="Times New Roman"/>
          <w:bCs/>
          <w:iCs/>
          <w:color w:val="000000" w:themeColor="text1"/>
          <w:kern w:val="0"/>
          <w:sz w:val="24"/>
          <w:szCs w:val="24"/>
          <w14:textFill>
            <w14:solidFill>
              <w14:schemeClr w14:val="tx1"/>
            </w14:solidFill>
          </w14:textFill>
        </w:rPr>
        <w:t>9</w:t>
      </w:r>
      <w:r>
        <w:rPr>
          <w:rFonts w:hint="eastAsia" w:ascii="宋体" w:hAnsi="宋体" w:eastAsia="宋体" w:cs="Times New Roman"/>
          <w:bCs/>
          <w:iCs/>
          <w:color w:val="000000" w:themeColor="text1"/>
          <w:kern w:val="0"/>
          <w:sz w:val="24"/>
          <w:szCs w:val="24"/>
          <w14:textFill>
            <w14:solidFill>
              <w14:schemeClr w14:val="tx1"/>
            </w14:solidFill>
          </w14:textFill>
        </w:rPr>
        <w:t>.</w:t>
      </w:r>
      <w:r>
        <w:rPr>
          <w:rFonts w:ascii="宋体" w:hAnsi="宋体" w:eastAsia="宋体" w:cs="Times New Roman"/>
          <w:bCs/>
          <w:iCs/>
          <w:color w:val="000000" w:themeColor="text1"/>
          <w:kern w:val="0"/>
          <w:sz w:val="24"/>
          <w:szCs w:val="24"/>
          <w14:textFill>
            <w14:solidFill>
              <w14:schemeClr w14:val="tx1"/>
            </w14:solidFill>
          </w14:textFill>
        </w:rPr>
        <w:t xml:space="preserve"> </w:t>
      </w:r>
      <w:r>
        <w:rPr>
          <w:rFonts w:hint="eastAsia" w:ascii="宋体" w:hAnsi="宋体" w:eastAsia="宋体" w:cs="Times New Roman"/>
          <w:bCs/>
          <w:iCs/>
          <w:color w:val="000000" w:themeColor="text1"/>
          <w:kern w:val="0"/>
          <w:sz w:val="24"/>
          <w:szCs w:val="24"/>
          <w14:textFill>
            <w14:solidFill>
              <w14:schemeClr w14:val="tx1"/>
            </w14:solidFill>
          </w14:textFill>
        </w:rPr>
        <w:t>课题申请人无需向资助企业额外购买配套设备或软件。</w:t>
      </w:r>
    </w:p>
    <w:p w14:paraId="4566B554">
      <w:pPr>
        <w:rPr>
          <w:color w:val="000000" w:themeColor="text1"/>
          <w14:textFill>
            <w14:solidFill>
              <w14:schemeClr w14:val="tx1"/>
            </w14:solidFill>
          </w14:textFill>
        </w:rPr>
      </w:pPr>
    </w:p>
    <w:p w14:paraId="04D2D315">
      <w:pPr>
        <w:widowControl/>
        <w:snapToGrid w:val="0"/>
        <w:spacing w:line="480" w:lineRule="exact"/>
        <w:ind w:firstLine="560" w:firstLineChars="200"/>
        <w:outlineLvl w:val="1"/>
        <w:rPr>
          <w:rFonts w:ascii="Times New Roman" w:hAnsi="Times New Roman" w:eastAsia="微软雅黑" w:cs="Times New Roman"/>
          <w:b/>
          <w:bCs/>
          <w:iCs/>
          <w:color w:val="000000" w:themeColor="text1"/>
          <w:kern w:val="0"/>
          <w:sz w:val="28"/>
          <w14:textFill>
            <w14:solidFill>
              <w14:schemeClr w14:val="tx1"/>
            </w14:solidFill>
          </w14:textFill>
        </w:rPr>
      </w:pPr>
      <w:r>
        <w:rPr>
          <w:rFonts w:hint="eastAsia" w:ascii="Times New Roman" w:hAnsi="Times New Roman" w:eastAsia="微软雅黑" w:cs="Times New Roman"/>
          <w:b/>
          <w:bCs/>
          <w:iCs/>
          <w:color w:val="000000" w:themeColor="text1"/>
          <w:kern w:val="0"/>
          <w:sz w:val="28"/>
          <w14:textFill>
            <w14:solidFill>
              <w14:schemeClr w14:val="tx1"/>
            </w14:solidFill>
          </w14:textFill>
        </w:rPr>
        <w:t>五、联系人及联系方式</w:t>
      </w:r>
    </w:p>
    <w:p w14:paraId="26F882A7">
      <w:pPr>
        <w:widowControl/>
        <w:snapToGrid w:val="0"/>
        <w:spacing w:line="480" w:lineRule="exact"/>
        <w:ind w:firstLine="482" w:firstLineChars="200"/>
        <w:rPr>
          <w:rFonts w:ascii="宋体" w:hAnsi="宋体" w:eastAsia="宋体" w:cs="Times New Roman"/>
          <w:b/>
          <w:iCs/>
          <w:color w:val="000000" w:themeColor="text1"/>
          <w:kern w:val="0"/>
          <w:sz w:val="24"/>
          <w:szCs w:val="24"/>
          <w14:textFill>
            <w14:solidFill>
              <w14:schemeClr w14:val="tx1"/>
            </w14:solidFill>
          </w14:textFill>
        </w:rPr>
      </w:pPr>
      <w:r>
        <w:rPr>
          <w:rFonts w:hint="eastAsia" w:ascii="宋体" w:hAnsi="宋体" w:eastAsia="宋体" w:cs="Times New Roman"/>
          <w:b/>
          <w:iCs/>
          <w:color w:val="000000" w:themeColor="text1"/>
          <w:kern w:val="0"/>
          <w:sz w:val="24"/>
          <w:szCs w:val="24"/>
          <w14:textFill>
            <w14:solidFill>
              <w14:schemeClr w14:val="tx1"/>
            </w14:solidFill>
          </w14:textFill>
        </w:rPr>
        <w:t>教育部高等学校科学研究发展中心联系人：</w:t>
      </w:r>
    </w:p>
    <w:p w14:paraId="26B91916">
      <w:pPr>
        <w:widowControl/>
        <w:snapToGrid w:val="0"/>
        <w:spacing w:line="480" w:lineRule="exact"/>
        <w:ind w:firstLine="480" w:firstLineChars="200"/>
        <w:rPr>
          <w:rFonts w:ascii="宋体" w:hAnsi="宋体" w:eastAsia="宋体" w:cs="Times New Roman"/>
          <w:iCs/>
          <w:color w:val="000000" w:themeColor="text1"/>
          <w:kern w:val="0"/>
          <w:sz w:val="24"/>
          <w:szCs w:val="24"/>
          <w14:textFill>
            <w14:solidFill>
              <w14:schemeClr w14:val="tx1"/>
            </w14:solidFill>
          </w14:textFill>
        </w:rPr>
      </w:pPr>
      <w:r>
        <w:rPr>
          <w:rFonts w:hint="eastAsia" w:ascii="宋体" w:hAnsi="宋体" w:eastAsia="宋体" w:cs="Times New Roman"/>
          <w:iCs/>
          <w:color w:val="000000" w:themeColor="text1"/>
          <w:kern w:val="0"/>
          <w:sz w:val="24"/>
          <w:szCs w:val="24"/>
          <w14:textFill>
            <w14:solidFill>
              <w14:schemeClr w14:val="tx1"/>
            </w14:solidFill>
          </w14:textFill>
        </w:rPr>
        <w:t xml:space="preserve">张 </w:t>
      </w:r>
      <w:r>
        <w:rPr>
          <w:rFonts w:ascii="宋体" w:hAnsi="宋体" w:eastAsia="宋体" w:cs="Times New Roman"/>
          <w:iCs/>
          <w:color w:val="000000" w:themeColor="text1"/>
          <w:kern w:val="0"/>
          <w:sz w:val="24"/>
          <w:szCs w:val="24"/>
          <w14:textFill>
            <w14:solidFill>
              <w14:schemeClr w14:val="tx1"/>
            </w14:solidFill>
          </w14:textFill>
        </w:rPr>
        <w:t xml:space="preserve"> </w:t>
      </w:r>
      <w:r>
        <w:rPr>
          <w:rFonts w:hint="eastAsia" w:ascii="宋体" w:hAnsi="宋体" w:eastAsia="宋体" w:cs="Times New Roman"/>
          <w:iCs/>
          <w:color w:val="000000" w:themeColor="text1"/>
          <w:kern w:val="0"/>
          <w:sz w:val="24"/>
          <w:szCs w:val="24"/>
          <w14:textFill>
            <w14:solidFill>
              <w14:schemeClr w14:val="tx1"/>
            </w14:solidFill>
          </w14:textFill>
        </w:rPr>
        <w:t xml:space="preserve">杰 </w:t>
      </w:r>
      <w:r>
        <w:rPr>
          <w:rFonts w:ascii="宋体" w:hAnsi="宋体" w:eastAsia="宋体" w:cs="Times New Roman"/>
          <w:iCs/>
          <w:color w:val="000000" w:themeColor="text1"/>
          <w:kern w:val="0"/>
          <w:sz w:val="24"/>
          <w:szCs w:val="24"/>
          <w14:textFill>
            <w14:solidFill>
              <w14:schemeClr w14:val="tx1"/>
            </w14:solidFill>
          </w14:textFill>
        </w:rPr>
        <w:t xml:space="preserve">      </w:t>
      </w:r>
      <w:r>
        <w:rPr>
          <w:rFonts w:hint="eastAsia" w:ascii="宋体" w:hAnsi="宋体" w:eastAsia="宋体" w:cs="Times New Roman"/>
          <w:iCs/>
          <w:color w:val="000000" w:themeColor="text1"/>
          <w:kern w:val="0"/>
          <w:sz w:val="24"/>
          <w:szCs w:val="24"/>
          <w14:textFill>
            <w14:solidFill>
              <w14:schemeClr w14:val="tx1"/>
            </w14:solidFill>
          </w14:textFill>
        </w:rPr>
        <w:t>电话：010-62514689</w:t>
      </w:r>
    </w:p>
    <w:p w14:paraId="21F8B8AF">
      <w:pPr>
        <w:widowControl/>
        <w:snapToGrid w:val="0"/>
        <w:spacing w:line="480" w:lineRule="exact"/>
        <w:ind w:firstLine="482" w:firstLineChars="200"/>
        <w:rPr>
          <w:rFonts w:ascii="宋体" w:hAnsi="宋体" w:eastAsia="宋体" w:cs="Times New Roman"/>
          <w:b/>
          <w:iCs/>
          <w:color w:val="000000" w:themeColor="text1"/>
          <w:kern w:val="0"/>
          <w:sz w:val="24"/>
          <w:szCs w:val="24"/>
          <w14:textFill>
            <w14:solidFill>
              <w14:schemeClr w14:val="tx1"/>
            </w14:solidFill>
          </w14:textFill>
        </w:rPr>
      </w:pPr>
      <w:r>
        <w:rPr>
          <w:rFonts w:hint="eastAsia" w:ascii="宋体" w:hAnsi="宋体" w:eastAsia="宋体" w:cs="Times New Roman"/>
          <w:b/>
          <w:iCs/>
          <w:color w:val="000000" w:themeColor="text1"/>
          <w:kern w:val="0"/>
          <w:sz w:val="24"/>
          <w:szCs w:val="24"/>
          <w14:textFill>
            <w14:solidFill>
              <w14:schemeClr w14:val="tx1"/>
            </w14:solidFill>
          </w14:textFill>
        </w:rPr>
        <w:t>赛尔新技术（北京）有限公司联系人：</w:t>
      </w:r>
    </w:p>
    <w:p w14:paraId="457FA12C">
      <w:pPr>
        <w:widowControl/>
        <w:snapToGrid w:val="0"/>
        <w:spacing w:line="480" w:lineRule="exact"/>
        <w:ind w:left="479" w:leftChars="228"/>
        <w:rPr>
          <w:rFonts w:ascii="宋体" w:hAnsi="宋体" w:eastAsia="宋体" w:cs="Times New Roman"/>
          <w:iCs/>
          <w:color w:val="000000" w:themeColor="text1"/>
          <w:kern w:val="0"/>
          <w:sz w:val="24"/>
          <w:szCs w:val="24"/>
          <w14:textFill>
            <w14:solidFill>
              <w14:schemeClr w14:val="tx1"/>
            </w14:solidFill>
          </w14:textFill>
        </w:rPr>
      </w:pPr>
      <w:r>
        <w:rPr>
          <w:rFonts w:hint="eastAsia" w:ascii="宋体" w:hAnsi="宋体" w:eastAsia="宋体" w:cs="Times New Roman"/>
          <w:iCs/>
          <w:color w:val="000000" w:themeColor="text1"/>
          <w:kern w:val="0"/>
          <w:sz w:val="24"/>
          <w:szCs w:val="24"/>
          <w14:textFill>
            <w14:solidFill>
              <w14:schemeClr w14:val="tx1"/>
            </w14:solidFill>
          </w14:textFill>
        </w:rPr>
        <w:t xml:space="preserve">陈楚鹏 </w:t>
      </w:r>
      <w:r>
        <w:rPr>
          <w:rFonts w:ascii="宋体" w:hAnsi="宋体" w:eastAsia="宋体" w:cs="Times New Roman"/>
          <w:iCs/>
          <w:color w:val="000000" w:themeColor="text1"/>
          <w:kern w:val="0"/>
          <w:sz w:val="24"/>
          <w:szCs w:val="24"/>
          <w14:textFill>
            <w14:solidFill>
              <w14:schemeClr w14:val="tx1"/>
            </w14:solidFill>
          </w14:textFill>
        </w:rPr>
        <w:t xml:space="preserve">      </w:t>
      </w:r>
      <w:r>
        <w:rPr>
          <w:rFonts w:hint="eastAsia" w:ascii="宋体" w:hAnsi="宋体" w:eastAsia="宋体" w:cs="Times New Roman"/>
          <w:iCs/>
          <w:color w:val="000000" w:themeColor="text1"/>
          <w:kern w:val="0"/>
          <w:sz w:val="24"/>
          <w:szCs w:val="24"/>
          <w14:textFill>
            <w14:solidFill>
              <w14:schemeClr w14:val="tx1"/>
            </w14:solidFill>
          </w14:textFill>
        </w:rPr>
        <w:t>电话：</w:t>
      </w:r>
      <w:r>
        <w:rPr>
          <w:rFonts w:ascii="宋体" w:hAnsi="宋体" w:eastAsia="宋体" w:cs="Times New Roman"/>
          <w:iCs/>
          <w:color w:val="000000" w:themeColor="text1"/>
          <w:kern w:val="0"/>
          <w:sz w:val="24"/>
          <w:szCs w:val="24"/>
          <w14:textFill>
            <w14:solidFill>
              <w14:schemeClr w14:val="tx1"/>
            </w14:solidFill>
          </w14:textFill>
        </w:rPr>
        <w:t>18718743008</w:t>
      </w:r>
    </w:p>
    <w:p w14:paraId="2604215C">
      <w:pPr>
        <w:widowControl/>
        <w:snapToGrid w:val="0"/>
        <w:spacing w:line="480" w:lineRule="exact"/>
        <w:ind w:left="479" w:leftChars="228"/>
        <w:rPr>
          <w:rFonts w:ascii="宋体" w:hAnsi="宋体" w:eastAsia="宋体" w:cs="Times New Roman"/>
          <w:iCs/>
          <w:color w:val="000000" w:themeColor="text1"/>
          <w:kern w:val="0"/>
          <w:sz w:val="24"/>
          <w:szCs w:val="24"/>
          <w14:textFill>
            <w14:solidFill>
              <w14:schemeClr w14:val="tx1"/>
            </w14:solidFill>
          </w14:textFill>
        </w:rPr>
      </w:pPr>
      <w:r>
        <w:rPr>
          <w:rFonts w:hint="eastAsia" w:ascii="宋体" w:hAnsi="宋体" w:eastAsia="宋体" w:cs="Times New Roman"/>
          <w:iCs/>
          <w:color w:val="000000" w:themeColor="text1"/>
          <w:kern w:val="0"/>
          <w:sz w:val="24"/>
          <w:szCs w:val="24"/>
          <w14:textFill>
            <w14:solidFill>
              <w14:schemeClr w14:val="tx1"/>
            </w14:solidFill>
          </w14:textFill>
        </w:rPr>
        <w:t xml:space="preserve">李晓霞 </w:t>
      </w:r>
      <w:r>
        <w:rPr>
          <w:rFonts w:ascii="宋体" w:hAnsi="宋体" w:eastAsia="宋体" w:cs="Times New Roman"/>
          <w:iCs/>
          <w:color w:val="000000" w:themeColor="text1"/>
          <w:kern w:val="0"/>
          <w:sz w:val="24"/>
          <w:szCs w:val="24"/>
          <w14:textFill>
            <w14:solidFill>
              <w14:schemeClr w14:val="tx1"/>
            </w14:solidFill>
          </w14:textFill>
        </w:rPr>
        <w:t xml:space="preserve">      </w:t>
      </w:r>
      <w:r>
        <w:rPr>
          <w:rFonts w:hint="eastAsia" w:ascii="宋体" w:hAnsi="宋体" w:eastAsia="宋体" w:cs="Times New Roman"/>
          <w:iCs/>
          <w:color w:val="000000" w:themeColor="text1"/>
          <w:kern w:val="0"/>
          <w:sz w:val="24"/>
          <w:szCs w:val="24"/>
          <w14:textFill>
            <w14:solidFill>
              <w14:schemeClr w14:val="tx1"/>
            </w14:solidFill>
          </w14:textFill>
        </w:rPr>
        <w:t>电话：18611627502</w:t>
      </w:r>
    </w:p>
    <w:p w14:paraId="54EE64F8">
      <w:pPr>
        <w:widowControl/>
        <w:snapToGrid w:val="0"/>
        <w:spacing w:line="480" w:lineRule="exact"/>
        <w:ind w:firstLine="482" w:firstLineChars="200"/>
        <w:rPr>
          <w:b/>
        </w:rPr>
      </w:pPr>
      <w:r>
        <w:rPr>
          <w:rFonts w:hint="eastAsia" w:ascii="宋体" w:hAnsi="宋体" w:eastAsia="宋体" w:cs="Times New Roman"/>
          <w:b/>
          <w:iCs/>
          <w:color w:val="000000" w:themeColor="text1"/>
          <w:kern w:val="0"/>
          <w:sz w:val="24"/>
          <w:szCs w:val="24"/>
          <w14:textFill>
            <w14:solidFill>
              <w14:schemeClr w14:val="tx1"/>
            </w14:solidFill>
          </w14:textFill>
        </w:rPr>
        <w:t>奇安信科技集团有限公司联系人：</w:t>
      </w:r>
    </w:p>
    <w:p w14:paraId="510B1A05">
      <w:pPr>
        <w:widowControl/>
        <w:snapToGrid w:val="0"/>
        <w:spacing w:line="480" w:lineRule="exact"/>
        <w:ind w:left="479" w:leftChars="228"/>
        <w:rPr>
          <w:rFonts w:ascii="宋体" w:hAnsi="宋体" w:eastAsia="宋体" w:cs="Times New Roman"/>
          <w:iCs/>
          <w:color w:val="000000" w:themeColor="text1"/>
          <w:kern w:val="0"/>
          <w:sz w:val="24"/>
          <w:szCs w:val="24"/>
          <w14:textFill>
            <w14:solidFill>
              <w14:schemeClr w14:val="tx1"/>
            </w14:solidFill>
          </w14:textFill>
        </w:rPr>
      </w:pPr>
      <w:r>
        <w:rPr>
          <w:rFonts w:ascii="宋体" w:hAnsi="宋体" w:eastAsia="宋体" w:cs="Times New Roman"/>
          <w:iCs/>
          <w:color w:val="000000" w:themeColor="text1"/>
          <w:kern w:val="0"/>
          <w:sz w:val="24"/>
          <w:szCs w:val="24"/>
          <w14:textFill>
            <w14:solidFill>
              <w14:schemeClr w14:val="tx1"/>
            </w14:solidFill>
          </w14:textFill>
        </w:rPr>
        <w:t>杨</w:t>
      </w:r>
      <w:r>
        <w:rPr>
          <w:rFonts w:hint="eastAsia" w:ascii="宋体" w:hAnsi="宋体" w:eastAsia="宋体" w:cs="Times New Roman"/>
          <w:iCs/>
          <w:color w:val="000000" w:themeColor="text1"/>
          <w:kern w:val="0"/>
          <w:sz w:val="24"/>
          <w:szCs w:val="24"/>
          <w14:textFill>
            <w14:solidFill>
              <w14:schemeClr w14:val="tx1"/>
            </w14:solidFill>
          </w14:textFill>
        </w:rPr>
        <w:t xml:space="preserve"> </w:t>
      </w:r>
      <w:r>
        <w:rPr>
          <w:rFonts w:ascii="宋体" w:hAnsi="宋体" w:eastAsia="宋体" w:cs="Times New Roman"/>
          <w:iCs/>
          <w:color w:val="000000" w:themeColor="text1"/>
          <w:kern w:val="0"/>
          <w:sz w:val="24"/>
          <w:szCs w:val="24"/>
          <w14:textFill>
            <w14:solidFill>
              <w14:schemeClr w14:val="tx1"/>
            </w14:solidFill>
          </w14:textFill>
        </w:rPr>
        <w:t xml:space="preserve"> 鑫</w:t>
      </w:r>
      <w:r>
        <w:rPr>
          <w:rFonts w:hint="eastAsia" w:ascii="宋体" w:hAnsi="宋体" w:eastAsia="宋体" w:cs="Times New Roman"/>
          <w:iCs/>
          <w:color w:val="000000" w:themeColor="text1"/>
          <w:kern w:val="0"/>
          <w:sz w:val="24"/>
          <w:szCs w:val="24"/>
          <w14:textFill>
            <w14:solidFill>
              <w14:schemeClr w14:val="tx1"/>
            </w14:solidFill>
          </w14:textFill>
        </w:rPr>
        <w:t xml:space="preserve"> </w:t>
      </w:r>
      <w:r>
        <w:rPr>
          <w:rFonts w:ascii="宋体" w:hAnsi="宋体" w:eastAsia="宋体" w:cs="Times New Roman"/>
          <w:iCs/>
          <w:color w:val="000000" w:themeColor="text1"/>
          <w:kern w:val="0"/>
          <w:sz w:val="24"/>
          <w:szCs w:val="24"/>
          <w14:textFill>
            <w14:solidFill>
              <w14:schemeClr w14:val="tx1"/>
            </w14:solidFill>
          </w14:textFill>
        </w:rPr>
        <w:t xml:space="preserve">      </w:t>
      </w:r>
      <w:r>
        <w:rPr>
          <w:rFonts w:hint="eastAsia" w:ascii="宋体" w:hAnsi="宋体" w:eastAsia="宋体" w:cs="Times New Roman"/>
          <w:iCs/>
          <w:color w:val="000000" w:themeColor="text1"/>
          <w:kern w:val="0"/>
          <w:sz w:val="24"/>
          <w:szCs w:val="24"/>
          <w14:textFill>
            <w14:solidFill>
              <w14:schemeClr w14:val="tx1"/>
            </w14:solidFill>
          </w14:textFill>
        </w:rPr>
        <w:t>电话：</w:t>
      </w:r>
      <w:r>
        <w:rPr>
          <w:rFonts w:ascii="宋体" w:hAnsi="宋体" w:eastAsia="宋体" w:cs="Times New Roman"/>
          <w:iCs/>
          <w:color w:val="000000" w:themeColor="text1"/>
          <w:kern w:val="0"/>
          <w:sz w:val="24"/>
          <w:szCs w:val="24"/>
          <w14:textFill>
            <w14:solidFill>
              <w14:schemeClr w14:val="tx1"/>
            </w14:solidFill>
          </w14:textFill>
        </w:rPr>
        <w:t>18588723992</w:t>
      </w:r>
    </w:p>
    <w:p w14:paraId="7A6D44D1">
      <w:pPr>
        <w:widowControl/>
        <w:snapToGrid w:val="0"/>
        <w:spacing w:line="480" w:lineRule="exact"/>
        <w:ind w:left="479" w:leftChars="228"/>
        <w:rPr>
          <w:rFonts w:ascii="宋体" w:hAnsi="宋体" w:eastAsia="宋体" w:cs="Times New Roman"/>
          <w:iCs/>
          <w:color w:val="000000" w:themeColor="text1"/>
          <w:kern w:val="0"/>
          <w:sz w:val="24"/>
          <w:szCs w:val="24"/>
          <w14:textFill>
            <w14:solidFill>
              <w14:schemeClr w14:val="tx1"/>
            </w14:solidFill>
          </w14:textFill>
        </w:rPr>
      </w:pPr>
      <w:r>
        <w:rPr>
          <w:rFonts w:hint="eastAsia" w:ascii="宋体" w:hAnsi="宋体" w:eastAsia="宋体" w:cs="Times New Roman"/>
          <w:iCs/>
          <w:color w:val="000000" w:themeColor="text1"/>
          <w:kern w:val="0"/>
          <w:sz w:val="24"/>
          <w:szCs w:val="24"/>
          <w14:textFill>
            <w14:solidFill>
              <w14:schemeClr w14:val="tx1"/>
            </w14:solidFill>
          </w14:textFill>
        </w:rPr>
        <w:t xml:space="preserve">朱伶俐 </w:t>
      </w:r>
      <w:r>
        <w:rPr>
          <w:rFonts w:ascii="宋体" w:hAnsi="宋体" w:eastAsia="宋体" w:cs="Times New Roman"/>
          <w:iCs/>
          <w:color w:val="000000" w:themeColor="text1"/>
          <w:kern w:val="0"/>
          <w:sz w:val="24"/>
          <w:szCs w:val="24"/>
          <w14:textFill>
            <w14:solidFill>
              <w14:schemeClr w14:val="tx1"/>
            </w14:solidFill>
          </w14:textFill>
        </w:rPr>
        <w:t xml:space="preserve">      </w:t>
      </w:r>
      <w:r>
        <w:rPr>
          <w:rFonts w:hint="eastAsia" w:ascii="宋体" w:hAnsi="宋体" w:eastAsia="宋体" w:cs="Times New Roman"/>
          <w:iCs/>
          <w:color w:val="000000" w:themeColor="text1"/>
          <w:kern w:val="0"/>
          <w:sz w:val="24"/>
          <w:szCs w:val="24"/>
          <w14:textFill>
            <w14:solidFill>
              <w14:schemeClr w14:val="tx1"/>
            </w14:solidFill>
          </w14:textFill>
        </w:rPr>
        <w:t>电话：13601292437</w:t>
      </w:r>
    </w:p>
    <w:sectPr>
      <w:pgSz w:w="11906" w:h="16838"/>
      <w:pgMar w:top="1304" w:right="153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1B"/>
    <w:rsid w:val="00010959"/>
    <w:rsid w:val="00032131"/>
    <w:rsid w:val="0005196F"/>
    <w:rsid w:val="00064B22"/>
    <w:rsid w:val="00067AF8"/>
    <w:rsid w:val="00082F7B"/>
    <w:rsid w:val="000C51A2"/>
    <w:rsid w:val="000E6414"/>
    <w:rsid w:val="000F2A08"/>
    <w:rsid w:val="00110EDA"/>
    <w:rsid w:val="00125C2E"/>
    <w:rsid w:val="00131E60"/>
    <w:rsid w:val="0016462E"/>
    <w:rsid w:val="001A56EC"/>
    <w:rsid w:val="001F5688"/>
    <w:rsid w:val="0020147E"/>
    <w:rsid w:val="002049D8"/>
    <w:rsid w:val="0021485C"/>
    <w:rsid w:val="0025277F"/>
    <w:rsid w:val="00264BDA"/>
    <w:rsid w:val="002A4B2A"/>
    <w:rsid w:val="002C171D"/>
    <w:rsid w:val="003702A1"/>
    <w:rsid w:val="003710A6"/>
    <w:rsid w:val="003A7B5E"/>
    <w:rsid w:val="003B5C9F"/>
    <w:rsid w:val="0040146E"/>
    <w:rsid w:val="004223B2"/>
    <w:rsid w:val="004352B6"/>
    <w:rsid w:val="00441EBC"/>
    <w:rsid w:val="00470A00"/>
    <w:rsid w:val="00497C8C"/>
    <w:rsid w:val="004B58A6"/>
    <w:rsid w:val="004B7639"/>
    <w:rsid w:val="004D4AC3"/>
    <w:rsid w:val="0056371B"/>
    <w:rsid w:val="0057566D"/>
    <w:rsid w:val="00595B19"/>
    <w:rsid w:val="005A6996"/>
    <w:rsid w:val="005B051F"/>
    <w:rsid w:val="005C76AB"/>
    <w:rsid w:val="005D12E3"/>
    <w:rsid w:val="00664F75"/>
    <w:rsid w:val="006651D7"/>
    <w:rsid w:val="006763FC"/>
    <w:rsid w:val="00694898"/>
    <w:rsid w:val="006A7BB9"/>
    <w:rsid w:val="006D4E4C"/>
    <w:rsid w:val="00713440"/>
    <w:rsid w:val="007262AB"/>
    <w:rsid w:val="00740862"/>
    <w:rsid w:val="00740B35"/>
    <w:rsid w:val="007968E5"/>
    <w:rsid w:val="007A257C"/>
    <w:rsid w:val="007E70A0"/>
    <w:rsid w:val="0080015E"/>
    <w:rsid w:val="008049E0"/>
    <w:rsid w:val="0081645B"/>
    <w:rsid w:val="008C763B"/>
    <w:rsid w:val="008D31A7"/>
    <w:rsid w:val="008E11AA"/>
    <w:rsid w:val="008F34F8"/>
    <w:rsid w:val="008F4270"/>
    <w:rsid w:val="00904B9C"/>
    <w:rsid w:val="00984F31"/>
    <w:rsid w:val="009A70BE"/>
    <w:rsid w:val="009C58E3"/>
    <w:rsid w:val="00A01817"/>
    <w:rsid w:val="00A10703"/>
    <w:rsid w:val="00A17751"/>
    <w:rsid w:val="00A34FA0"/>
    <w:rsid w:val="00A752B7"/>
    <w:rsid w:val="00A93358"/>
    <w:rsid w:val="00A940CD"/>
    <w:rsid w:val="00AA6ACD"/>
    <w:rsid w:val="00AE1DDB"/>
    <w:rsid w:val="00B27A20"/>
    <w:rsid w:val="00B6235A"/>
    <w:rsid w:val="00BF20ED"/>
    <w:rsid w:val="00C14792"/>
    <w:rsid w:val="00C31DAB"/>
    <w:rsid w:val="00C804B4"/>
    <w:rsid w:val="00C840A6"/>
    <w:rsid w:val="00CD2EFE"/>
    <w:rsid w:val="00CE6B7F"/>
    <w:rsid w:val="00D34ACD"/>
    <w:rsid w:val="00DB007C"/>
    <w:rsid w:val="00DB1CE5"/>
    <w:rsid w:val="00DB7FBA"/>
    <w:rsid w:val="00DE7DE5"/>
    <w:rsid w:val="00E03C70"/>
    <w:rsid w:val="00E07727"/>
    <w:rsid w:val="00E27C8C"/>
    <w:rsid w:val="00E404B0"/>
    <w:rsid w:val="00E65B2A"/>
    <w:rsid w:val="00EA3975"/>
    <w:rsid w:val="00F06F21"/>
    <w:rsid w:val="00F32A00"/>
    <w:rsid w:val="00F405B3"/>
    <w:rsid w:val="00F47BA3"/>
    <w:rsid w:val="00F657F8"/>
    <w:rsid w:val="00FB304B"/>
    <w:rsid w:val="00FC6C8F"/>
    <w:rsid w:val="00FF0889"/>
    <w:rsid w:val="00FF14E3"/>
    <w:rsid w:val="27BC3E46"/>
    <w:rsid w:val="3FB469D9"/>
    <w:rsid w:val="48E831D2"/>
    <w:rsid w:val="53520051"/>
    <w:rsid w:val="5C373FFC"/>
    <w:rsid w:val="60512776"/>
    <w:rsid w:val="6B6D3636"/>
    <w:rsid w:val="70C9070D"/>
    <w:rsid w:val="7BF307C2"/>
    <w:rsid w:val="7D863A8A"/>
    <w:rsid w:val="7DDF1BEB"/>
    <w:rsid w:val="D7CD0497"/>
    <w:rsid w:val="DDCDF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szCs w:val="20"/>
    </w:rPr>
  </w:style>
  <w:style w:type="paragraph" w:styleId="4">
    <w:name w:val="annotation text"/>
    <w:basedOn w:val="1"/>
    <w:link w:val="24"/>
    <w:qFormat/>
    <w:uiPriority w:val="99"/>
    <w:pPr>
      <w:jc w:val="left"/>
    </w:pPr>
  </w:style>
  <w:style w:type="paragraph" w:styleId="5">
    <w:name w:val="Body Text"/>
    <w:basedOn w:val="1"/>
    <w:qFormat/>
    <w:uiPriority w:val="0"/>
    <w:pPr>
      <w:spacing w:after="120"/>
    </w:pPr>
    <w:rPr>
      <w:rFonts w:ascii="Times New Roman" w:hAnsi="Times New Roman" w:eastAsia="宋体" w:cs="Calibri"/>
      <w:szCs w:val="21"/>
    </w:rPr>
  </w:style>
  <w:style w:type="paragraph" w:styleId="6">
    <w:name w:val="Balloon Text"/>
    <w:basedOn w:val="1"/>
    <w:link w:val="19"/>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kern w:val="0"/>
      <w:sz w:val="24"/>
      <w:szCs w:val="24"/>
    </w:rPr>
  </w:style>
  <w:style w:type="paragraph" w:styleId="10">
    <w:name w:val="annotation subject"/>
    <w:basedOn w:val="4"/>
    <w:next w:val="4"/>
    <w:link w:val="25"/>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page number"/>
    <w:basedOn w:val="13"/>
    <w:qFormat/>
    <w:uiPriority w:val="0"/>
  </w:style>
  <w:style w:type="character" w:styleId="16">
    <w:name w:val="Emphasis"/>
    <w:basedOn w:val="13"/>
    <w:qFormat/>
    <w:uiPriority w:val="20"/>
    <w:rPr>
      <w:i/>
      <w:iCs/>
    </w:rPr>
  </w:style>
  <w:style w:type="character" w:styleId="17">
    <w:name w:val="Hyperlink"/>
    <w:basedOn w:val="13"/>
    <w:qFormat/>
    <w:uiPriority w:val="99"/>
    <w:rPr>
      <w:color w:val="0563C1"/>
      <w:u w:val="single"/>
    </w:rPr>
  </w:style>
  <w:style w:type="character" w:styleId="18">
    <w:name w:val="annotation reference"/>
    <w:basedOn w:val="13"/>
    <w:qFormat/>
    <w:uiPriority w:val="99"/>
    <w:rPr>
      <w:sz w:val="21"/>
      <w:szCs w:val="21"/>
    </w:rPr>
  </w:style>
  <w:style w:type="character" w:customStyle="1" w:styleId="19">
    <w:name w:val="批注框文本 字符"/>
    <w:basedOn w:val="13"/>
    <w:link w:val="6"/>
    <w:qFormat/>
    <w:uiPriority w:val="99"/>
    <w:rPr>
      <w:sz w:val="18"/>
      <w:szCs w:val="18"/>
    </w:rPr>
  </w:style>
  <w:style w:type="character" w:customStyle="1" w:styleId="20">
    <w:name w:val="页眉 字符"/>
    <w:basedOn w:val="13"/>
    <w:link w:val="8"/>
    <w:qFormat/>
    <w:uiPriority w:val="99"/>
    <w:rPr>
      <w:sz w:val="18"/>
      <w:szCs w:val="18"/>
    </w:rPr>
  </w:style>
  <w:style w:type="character" w:customStyle="1" w:styleId="21">
    <w:name w:val="页脚 字符"/>
    <w:basedOn w:val="13"/>
    <w:link w:val="7"/>
    <w:qFormat/>
    <w:uiPriority w:val="99"/>
    <w:rPr>
      <w:sz w:val="18"/>
      <w:szCs w:val="18"/>
    </w:rPr>
  </w:style>
  <w:style w:type="paragraph" w:styleId="22">
    <w:name w:val="No Spacing"/>
    <w:qFormat/>
    <w:uiPriority w:val="1"/>
    <w:pPr>
      <w:widowControl w:val="0"/>
      <w:jc w:val="both"/>
    </w:pPr>
    <w:rPr>
      <w:rFonts w:ascii="等线" w:hAnsi="等线" w:eastAsia="等线" w:cs="宋体"/>
      <w:kern w:val="2"/>
      <w:sz w:val="21"/>
      <w:szCs w:val="22"/>
      <w:lang w:val="en-US" w:eastAsia="zh-CN" w:bidi="ar-SA"/>
    </w:rPr>
  </w:style>
  <w:style w:type="paragraph" w:styleId="23">
    <w:name w:val="List Paragraph"/>
    <w:basedOn w:val="1"/>
    <w:link w:val="30"/>
    <w:qFormat/>
    <w:uiPriority w:val="34"/>
    <w:pPr>
      <w:ind w:firstLine="420" w:firstLineChars="200"/>
    </w:pPr>
  </w:style>
  <w:style w:type="character" w:customStyle="1" w:styleId="24">
    <w:name w:val="批注文字 字符"/>
    <w:basedOn w:val="13"/>
    <w:link w:val="4"/>
    <w:qFormat/>
    <w:uiPriority w:val="99"/>
  </w:style>
  <w:style w:type="character" w:customStyle="1" w:styleId="25">
    <w:name w:val="批注主题 字符"/>
    <w:basedOn w:val="24"/>
    <w:link w:val="10"/>
    <w:qFormat/>
    <w:uiPriority w:val="99"/>
    <w:rPr>
      <w:b/>
      <w:bCs/>
    </w:rPr>
  </w:style>
  <w:style w:type="paragraph" w:customStyle="1" w:styleId="26">
    <w:name w:val="修订1"/>
    <w:qFormat/>
    <w:uiPriority w:val="99"/>
    <w:rPr>
      <w:rFonts w:ascii="等线" w:hAnsi="等线" w:eastAsia="等线" w:cs="宋体"/>
      <w:kern w:val="2"/>
      <w:sz w:val="21"/>
      <w:szCs w:val="22"/>
      <w:lang w:val="en-US" w:eastAsia="zh-CN" w:bidi="ar-SA"/>
    </w:rPr>
  </w:style>
  <w:style w:type="paragraph" w:customStyle="1" w:styleId="27">
    <w:name w:val="修订2"/>
    <w:qFormat/>
    <w:uiPriority w:val="99"/>
    <w:rPr>
      <w:rFonts w:ascii="等线" w:hAnsi="等线" w:eastAsia="等线" w:cs="宋体"/>
      <w:kern w:val="2"/>
      <w:sz w:val="21"/>
      <w:szCs w:val="22"/>
      <w:lang w:val="en-US" w:eastAsia="zh-CN" w:bidi="ar-SA"/>
    </w:rPr>
  </w:style>
  <w:style w:type="paragraph" w:customStyle="1" w:styleId="28">
    <w:name w:val="Revision_6849dc87-192b-4aaf-bae8-a1c3adf57fdc"/>
    <w:qFormat/>
    <w:uiPriority w:val="99"/>
    <w:rPr>
      <w:rFonts w:ascii="等线" w:hAnsi="等线" w:eastAsia="等线" w:cs="宋体"/>
      <w:kern w:val="2"/>
      <w:sz w:val="21"/>
      <w:szCs w:val="22"/>
      <w:lang w:val="en-US" w:eastAsia="zh-CN" w:bidi="ar-SA"/>
    </w:rPr>
  </w:style>
  <w:style w:type="paragraph" w:customStyle="1" w:styleId="29">
    <w:name w:val="Body"/>
    <w:basedOn w:val="1"/>
    <w:qFormat/>
    <w:uiPriority w:val="0"/>
    <w:pPr>
      <w:widowControl/>
      <w:tabs>
        <w:tab w:val="left" w:pos="1247"/>
      </w:tabs>
      <w:spacing w:before="120" w:line="288" w:lineRule="auto"/>
      <w:ind w:left="1247"/>
    </w:pPr>
    <w:rPr>
      <w:rFonts w:cs="Times New Roman"/>
      <w:kern w:val="0"/>
      <w:szCs w:val="21"/>
      <w:lang w:eastAsia="en-US"/>
    </w:rPr>
  </w:style>
  <w:style w:type="character" w:customStyle="1" w:styleId="30">
    <w:name w:val="列出段落 字符"/>
    <w:basedOn w:val="13"/>
    <w:link w:val="23"/>
    <w:autoRedefine/>
    <w:qFormat/>
    <w:locked/>
    <w:uiPriority w:val="34"/>
    <w:rPr>
      <w:rFonts w:ascii="等线" w:hAnsi="等线" w:eastAsia="等线" w:cs="宋体"/>
      <w:kern w:val="2"/>
      <w:sz w:val="21"/>
      <w:szCs w:val="22"/>
    </w:rPr>
  </w:style>
  <w:style w:type="character" w:customStyle="1" w:styleId="31">
    <w:name w:val="未处理的提及1"/>
    <w:basedOn w:val="13"/>
    <w:semiHidden/>
    <w:unhideWhenUsed/>
    <w:qFormat/>
    <w:uiPriority w:val="99"/>
    <w:rPr>
      <w:color w:val="605E5C"/>
      <w:shd w:val="clear" w:color="auto" w:fill="E1DFDD"/>
    </w:rPr>
  </w:style>
  <w:style w:type="paragraph" w:customStyle="1" w:styleId="32">
    <w:name w:val="正文1"/>
    <w:basedOn w:val="1"/>
    <w:qFormat/>
    <w:uiPriority w:val="0"/>
    <w:pPr>
      <w:spacing w:line="360" w:lineRule="auto"/>
      <w:ind w:firstLine="200" w:firstLineChars="200"/>
    </w:pPr>
    <w:rPr>
      <w:rFonts w:ascii="Arial" w:hAnsi="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9840</Words>
  <Characters>10527</Characters>
  <Lines>76</Lines>
  <Paragraphs>21</Paragraphs>
  <TotalTime>42</TotalTime>
  <ScaleCrop>false</ScaleCrop>
  <LinksUpToDate>false</LinksUpToDate>
  <CharactersWithSpaces>10593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2025-09-15T02:09:00Z</dcterms:created>
  <dc:creator>Songlin Liu (刘松林)-浪潮数字企业</dc:creator>
  <cp:lastModifiedBy>Jamie</cp:lastModifiedBy>
  <dcterms:modified xsi:type="dcterms:W3CDTF">2025-10-09T01:28:10Z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0CF4CC46D93D4DFE9041A90BC4CE78F1_13</vt:lpwstr>
  </property>
  <property fmtid="{D5CDD505-2E9C-101B-9397-08002B2CF9AE}" pid="4" name="KSOTemplateDocerSaveRecord">
    <vt:lpwstr>eyJoZGlkIjoiOTgyYTkwMGQ2NGUzY2JkZWU2YThkMDMxYjMwZDE1ZmYiLCJ1c2VySWQiOiIxMDE5NDYyNDQzIn0=</vt:lpwstr>
  </property>
</Properties>
</file>