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360" w:lineRule="auto"/>
        <w:jc w:val="center"/>
        <w:rPr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省基金预算编制和审核注意事项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关于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zh-TW" w:eastAsia="zh-TW"/>
        </w:rPr>
        <w:t>预算表中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zh-TW" w:eastAsia="zh-TW"/>
        </w:rPr>
        <w:t>备注栏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zh-TW" w:eastAsia="zh-TW"/>
        </w:rPr>
        <w:t>，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zh-TW" w:eastAsia="zh-TW"/>
        </w:rPr>
        <w:t>设备费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zh-TW" w:eastAsia="zh-TW"/>
        </w:rPr>
        <w:t>需写出测试依据，其他各项需写出基本说明</w:t>
      </w:r>
      <w:r>
        <w:rPr>
          <w:sz w:val="24"/>
          <w:szCs w:val="24"/>
          <w:rtl w:val="0"/>
          <w:lang w:val="zh-TW" w:eastAsia="zh-TW"/>
        </w:rPr>
        <w:t>，各预算科目预算编制注意事项如下：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</w:t>
      </w:r>
      <w:r>
        <w:rPr>
          <w:sz w:val="24"/>
          <w:szCs w:val="24"/>
          <w:rtl w:val="0"/>
          <w:lang w:val="zh-TW" w:eastAsia="zh-TW"/>
        </w:rPr>
        <w:t>、设备费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（</w:t>
      </w:r>
      <w:r>
        <w:rPr>
          <w:sz w:val="24"/>
          <w:szCs w:val="24"/>
          <w:rtl w:val="0"/>
          <w:lang w:val="en-US"/>
        </w:rPr>
        <w:t>1</w:t>
      </w:r>
      <w:r>
        <w:rPr>
          <w:sz w:val="24"/>
          <w:szCs w:val="24"/>
          <w:rtl w:val="0"/>
          <w:lang w:val="zh-TW" w:eastAsia="zh-TW"/>
        </w:rPr>
        <w:t>）需写出测算依据（明细及对项目研究的作用）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（</w:t>
      </w: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zh-TW" w:eastAsia="zh-TW"/>
        </w:rPr>
        <w:t>）无特殊情况不能列支平板电脑、手机、相机等非课题必备设备，不能出现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zh-TW" w:eastAsia="zh-TW"/>
        </w:rPr>
        <w:t>办公设备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zh-TW" w:eastAsia="zh-TW"/>
        </w:rPr>
        <w:t>等字样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zh-TW" w:eastAsia="zh-TW"/>
        </w:rPr>
        <w:t>、材料费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（</w:t>
      </w:r>
      <w:r>
        <w:rPr>
          <w:sz w:val="24"/>
          <w:szCs w:val="24"/>
          <w:rtl w:val="0"/>
          <w:lang w:val="en-US"/>
        </w:rPr>
        <w:t>1</w:t>
      </w:r>
      <w:r>
        <w:rPr>
          <w:sz w:val="24"/>
          <w:szCs w:val="24"/>
          <w:rtl w:val="0"/>
          <w:lang w:val="zh-TW" w:eastAsia="zh-TW"/>
        </w:rPr>
        <w:t>）不要出现办公耗材、办公用品等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zh-TW" w:eastAsia="zh-TW"/>
        </w:rPr>
        <w:t>办公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zh-TW" w:eastAsia="zh-TW"/>
        </w:rPr>
        <w:t>字样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Normal.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(2</w:t>
      </w:r>
      <w:r>
        <w:rPr>
          <w:sz w:val="24"/>
          <w:szCs w:val="24"/>
          <w:rtl w:val="0"/>
          <w:lang w:val="zh-TW" w:eastAsia="zh-TW"/>
        </w:rPr>
        <w:t>）因国资管理要求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zh-TW" w:eastAsia="zh-TW"/>
        </w:rPr>
        <w:t>单价超过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1500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zh-TW" w:eastAsia="zh-TW"/>
        </w:rPr>
        <w:t>元物品按固定资产管理，所以请需购置单价超过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1500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zh-TW" w:eastAsia="zh-TW"/>
        </w:rPr>
        <w:t>的的配品配件时，建议纳入设备费改造预算，不要放入材料费预算，以便将来顺利报销。</w:t>
      </w:r>
    </w:p>
    <w:p>
      <w:pPr>
        <w:pStyle w:val="Normal.0"/>
        <w:spacing w:line="360" w:lineRule="auto"/>
        <w:ind w:firstLine="48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  <w:rtl w:val="0"/>
          <w:lang w:val="en-US"/>
        </w:rPr>
        <w:t>3</w:t>
      </w:r>
      <w:r>
        <w:rPr>
          <w:sz w:val="24"/>
          <w:szCs w:val="24"/>
          <w:rtl w:val="0"/>
          <w:lang w:val="zh-TW" w:eastAsia="zh-TW"/>
        </w:rPr>
        <w:t>、燃料动力费是指研究过程中大型仪器设备、专用科学装置等发生的水、电、气、燃料消耗费用；</w:t>
      </w:r>
    </w:p>
    <w:p>
      <w:pPr>
        <w:pStyle w:val="Normal.0"/>
        <w:spacing w:line="360" w:lineRule="auto"/>
        <w:ind w:firstLine="480"/>
        <w:rPr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sz w:val="24"/>
          <w:szCs w:val="24"/>
          <w:rtl w:val="0"/>
          <w:lang w:val="zh-TW" w:eastAsia="zh-TW"/>
        </w:rPr>
        <w:t>实验室日常运转使用的水电费列入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zh-TW" w:eastAsia="zh-TW"/>
        </w:rPr>
        <w:t>间接费用</w:t>
      </w:r>
      <w:r>
        <w:rPr>
          <w:sz w:val="24"/>
          <w:szCs w:val="24"/>
          <w:rtl w:val="0"/>
          <w:lang w:val="zh-TW" w:eastAsia="zh-TW"/>
        </w:rPr>
        <w:t>预算；</w:t>
      </w:r>
    </w:p>
    <w:p>
      <w:pPr>
        <w:pStyle w:val="Normal.0"/>
        <w:spacing w:line="360" w:lineRule="auto"/>
        <w:ind w:firstLine="480"/>
        <w:rPr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sz w:val="24"/>
          <w:szCs w:val="24"/>
          <w:rtl w:val="0"/>
          <w:lang w:val="zh-TW" w:eastAsia="zh-TW"/>
        </w:rPr>
        <w:t>自驾车调研发生的汽油费开支列入差旅费。</w:t>
      </w:r>
    </w:p>
    <w:p>
      <w:pPr>
        <w:pStyle w:val="Normal.0"/>
        <w:spacing w:line="360" w:lineRule="auto"/>
        <w:ind w:firstLine="56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Calibri Light" w:cs="Calibri Light" w:hAnsi="Calibri Light" w:eastAsia="Calibri Light"/>
          <w:b w:val="1"/>
          <w:bCs w:val="1"/>
          <w:kern w:val="0"/>
          <w:sz w:val="28"/>
          <w:szCs w:val="28"/>
          <w:rtl w:val="0"/>
          <w:lang w:val="en-US"/>
        </w:rPr>
        <w:t>4</w:t>
      </w:r>
      <w:r>
        <w:rPr>
          <w:rFonts w:ascii="Calibri Light" w:cs="Calibri Light" w:hAnsi="Calibri Light" w:eastAsia="Calibri Light"/>
          <w:b w:val="1"/>
          <w:bCs w:val="1"/>
          <w:kern w:val="0"/>
          <w:sz w:val="28"/>
          <w:szCs w:val="28"/>
          <w:rtl w:val="0"/>
          <w:lang w:val="zh-TW" w:eastAsia="zh-TW"/>
        </w:rPr>
        <w:t>、测试形成设备的，在自制设备费预算，形成材料（即测试用的材料由测试单位提供，测试完成后将材料交给项目组）的，在材料费预算。</w:t>
      </w:r>
    </w:p>
    <w:p>
      <w:pPr>
        <w:pStyle w:val="Normal.0"/>
        <w:spacing w:line="360" w:lineRule="auto"/>
        <w:ind w:firstLine="48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5</w:t>
      </w:r>
      <w:r>
        <w:rPr>
          <w:sz w:val="24"/>
          <w:szCs w:val="24"/>
          <w:rtl w:val="0"/>
          <w:lang w:val="zh-TW" w:eastAsia="zh-TW"/>
        </w:rPr>
        <w:t>、差旅</w:t>
      </w:r>
      <w:r>
        <w:rPr>
          <w:rFonts w:ascii="Times New Roman" w:hAnsi="Times New Roman"/>
          <w:sz w:val="24"/>
          <w:szCs w:val="24"/>
          <w:rtl w:val="0"/>
          <w:lang w:val="en-US"/>
        </w:rPr>
        <w:t>/</w:t>
      </w:r>
      <w:r>
        <w:rPr>
          <w:sz w:val="24"/>
          <w:szCs w:val="24"/>
          <w:rtl w:val="0"/>
          <w:lang w:val="zh-TW" w:eastAsia="zh-TW"/>
        </w:rPr>
        <w:t>会议</w:t>
      </w:r>
      <w:r>
        <w:rPr>
          <w:rFonts w:ascii="Times New Roman" w:hAnsi="Times New Roman"/>
          <w:sz w:val="24"/>
          <w:szCs w:val="24"/>
          <w:rtl w:val="0"/>
          <w:lang w:val="en-US"/>
        </w:rPr>
        <w:t>/</w:t>
      </w:r>
      <w:r>
        <w:rPr>
          <w:sz w:val="24"/>
          <w:szCs w:val="24"/>
          <w:rtl w:val="0"/>
          <w:lang w:val="zh-TW" w:eastAsia="zh-TW"/>
        </w:rPr>
        <w:t>国际合作交流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会议期间邀请专家发生的咨询费列入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zh-TW" w:eastAsia="zh-TW"/>
        </w:rPr>
        <w:t>专家咨询费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zh-TW" w:eastAsia="zh-TW"/>
        </w:rPr>
        <w:t>预算，专家的差旅费可列入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zh-TW" w:eastAsia="zh-TW"/>
        </w:rPr>
        <w:t>差旅费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zh-TW" w:eastAsia="zh-TW"/>
        </w:rPr>
        <w:t>预算；</w:t>
      </w:r>
    </w:p>
    <w:p>
      <w:pPr>
        <w:pStyle w:val="Normal.0"/>
        <w:spacing w:line="360" w:lineRule="auto"/>
        <w:ind w:firstLine="48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6</w:t>
      </w:r>
      <w:r>
        <w:rPr>
          <w:sz w:val="24"/>
          <w:szCs w:val="24"/>
          <w:rtl w:val="0"/>
          <w:lang w:val="zh-TW" w:eastAsia="zh-TW"/>
        </w:rPr>
        <w:t>、出版</w:t>
      </w:r>
      <w:r>
        <w:rPr>
          <w:rFonts w:ascii="Times New Roman" w:hAnsi="Times New Roman"/>
          <w:sz w:val="24"/>
          <w:szCs w:val="24"/>
          <w:rtl w:val="0"/>
          <w:lang w:val="en-US"/>
        </w:rPr>
        <w:t>/</w:t>
      </w:r>
      <w:r>
        <w:rPr>
          <w:sz w:val="24"/>
          <w:szCs w:val="24"/>
          <w:rtl w:val="0"/>
          <w:lang w:val="zh-TW" w:eastAsia="zh-TW"/>
        </w:rPr>
        <w:t>文献</w:t>
      </w:r>
      <w:r>
        <w:rPr>
          <w:rFonts w:ascii="Times New Roman" w:hAnsi="Times New Roman"/>
          <w:sz w:val="24"/>
          <w:szCs w:val="24"/>
          <w:rtl w:val="0"/>
          <w:lang w:val="en-US"/>
        </w:rPr>
        <w:t>/</w:t>
      </w:r>
      <w:r>
        <w:rPr>
          <w:sz w:val="24"/>
          <w:szCs w:val="24"/>
          <w:rtl w:val="0"/>
          <w:lang w:val="zh-TW" w:eastAsia="zh-TW"/>
        </w:rPr>
        <w:t>信息传播</w:t>
      </w:r>
      <w:r>
        <w:rPr>
          <w:rFonts w:ascii="Times New Roman" w:hAnsi="Times New Roman"/>
          <w:sz w:val="24"/>
          <w:szCs w:val="24"/>
          <w:rtl w:val="0"/>
          <w:lang w:val="en-US"/>
        </w:rPr>
        <w:t>/</w:t>
      </w:r>
      <w:r>
        <w:rPr>
          <w:sz w:val="24"/>
          <w:szCs w:val="24"/>
          <w:rtl w:val="0"/>
          <w:lang w:val="zh-TW" w:eastAsia="zh-TW"/>
        </w:rPr>
        <w:t>知识产权事务费：</w:t>
      </w:r>
    </w:p>
    <w:p>
      <w:pPr>
        <w:pStyle w:val="Normal.0"/>
        <w:spacing w:line="360" w:lineRule="auto"/>
        <w:ind w:firstLine="480"/>
        <w:rPr>
          <w:sz w:val="24"/>
          <w:szCs w:val="24"/>
          <w:lang w:val="zh-TW" w:eastAsia="zh-TW"/>
        </w:rPr>
      </w:pPr>
      <w:r>
        <w:rPr>
          <w:sz w:val="24"/>
          <w:szCs w:val="24"/>
          <w:rtl w:val="0"/>
          <w:lang w:val="zh-TW" w:eastAsia="zh-TW"/>
        </w:rPr>
        <w:t>其中专利申请费和专利代理费可在此预算，专利维护费、网络费、通讯费在间接费用中预算。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</w:t>
      </w:r>
      <w:r>
        <w:rPr>
          <w:sz w:val="24"/>
          <w:szCs w:val="24"/>
          <w:rtl w:val="0"/>
          <w:lang w:val="zh-TW" w:eastAsia="zh-TW"/>
        </w:rPr>
        <w:t>、劳务费：</w:t>
      </w:r>
    </w:p>
    <w:p>
      <w:pPr>
        <w:pStyle w:val="Normal.0"/>
        <w:spacing w:line="360" w:lineRule="auto"/>
        <w:ind w:firstLine="480"/>
        <w:rPr>
          <w:sz w:val="24"/>
          <w:szCs w:val="24"/>
          <w:lang w:val="zh-TW" w:eastAsia="zh-TW"/>
        </w:rPr>
      </w:pPr>
      <w:r>
        <w:rPr>
          <w:sz w:val="24"/>
          <w:szCs w:val="24"/>
          <w:rtl w:val="0"/>
          <w:lang w:val="zh-TW" w:eastAsia="zh-TW"/>
        </w:rPr>
        <w:t>不能支付给本校在职在编人员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</w:t>
      </w:r>
      <w:r>
        <w:rPr>
          <w:sz w:val="24"/>
          <w:szCs w:val="24"/>
          <w:rtl w:val="0"/>
          <w:lang w:val="zh-TW" w:eastAsia="zh-TW"/>
        </w:rPr>
        <w:t>、专家咨询费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不同于劳务费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zh-TW" w:eastAsia="zh-TW"/>
        </w:rPr>
        <w:t>不得支付给项目组成员和项目组聘用人员，不得列示研究生答辩产生的专家酬金；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专家咨询费测算应</w:t>
      </w:r>
      <w:r>
        <w:rPr>
          <w:color w:val="333333"/>
          <w:kern w:val="0"/>
          <w:sz w:val="24"/>
          <w:szCs w:val="24"/>
          <w:u w:color="333333"/>
          <w:rtl w:val="0"/>
          <w:lang w:val="zh-TW" w:eastAsia="zh-TW"/>
        </w:rPr>
        <w:t>按照《中央财政科研项目专家咨询费管理办法》（财科教〔</w:t>
      </w:r>
      <w:r>
        <w:rPr>
          <w:rFonts w:ascii="宋体" w:cs="宋体" w:hAnsi="宋体" w:eastAsia="宋体"/>
          <w:color w:val="333333"/>
          <w:kern w:val="0"/>
          <w:sz w:val="24"/>
          <w:szCs w:val="24"/>
          <w:u w:color="333333"/>
          <w:rtl w:val="0"/>
          <w:lang w:val="en-US"/>
        </w:rPr>
        <w:t>2017</w:t>
      </w:r>
      <w:r>
        <w:rPr>
          <w:color w:val="333333"/>
          <w:kern w:val="0"/>
          <w:sz w:val="24"/>
          <w:szCs w:val="24"/>
          <w:u w:color="333333"/>
          <w:rtl w:val="0"/>
          <w:lang w:val="zh-TW" w:eastAsia="zh-TW"/>
        </w:rPr>
        <w:t>〕</w:t>
      </w:r>
      <w:r>
        <w:rPr>
          <w:rFonts w:ascii="宋体" w:cs="宋体" w:hAnsi="宋体" w:eastAsia="宋体"/>
          <w:color w:val="333333"/>
          <w:kern w:val="0"/>
          <w:sz w:val="24"/>
          <w:szCs w:val="24"/>
          <w:u w:color="333333"/>
          <w:rtl w:val="0"/>
          <w:lang w:val="en-US"/>
        </w:rPr>
        <w:t>128</w:t>
      </w:r>
      <w:r>
        <w:rPr>
          <w:color w:val="333333"/>
          <w:kern w:val="0"/>
          <w:sz w:val="24"/>
          <w:szCs w:val="24"/>
          <w:u w:color="333333"/>
          <w:rtl w:val="0"/>
          <w:lang w:val="zh-TW" w:eastAsia="zh-TW"/>
        </w:rPr>
        <w:t>号）标准测算：</w:t>
      </w:r>
    </w:p>
    <w:tbl>
      <w:tblPr>
        <w:tblW w:w="85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29"/>
        <w:gridCol w:w="1421"/>
        <w:gridCol w:w="1416"/>
        <w:gridCol w:w="2126"/>
        <w:gridCol w:w="2408"/>
      </w:tblGrid>
      <w:tr>
        <w:tblPrEx>
          <w:shd w:val="clear" w:color="auto" w:fill="d0ddef"/>
        </w:tblPrEx>
        <w:trPr>
          <w:trHeight w:val="684" w:hRule="atLeast"/>
        </w:trPr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zh-TW" w:eastAsia="zh-TW"/>
              </w:rPr>
              <w:t>咨询专家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18"/>
                <w:szCs w:val="18"/>
                <w:rtl w:val="0"/>
                <w:lang w:val="zh-TW" w:eastAsia="zh-TW"/>
              </w:rPr>
              <w:t>会议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18"/>
                <w:szCs w:val="18"/>
                <w:rtl w:val="0"/>
                <w:lang w:val="zh-TW" w:eastAsia="zh-TW"/>
              </w:rPr>
              <w:t>半天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18"/>
                <w:szCs w:val="18"/>
                <w:rtl w:val="0"/>
                <w:lang w:val="zh-TW" w:eastAsia="zh-TW"/>
              </w:rPr>
              <w:t>不超过两天（含两天）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18"/>
                <w:szCs w:val="18"/>
                <w:rtl w:val="0"/>
                <w:lang w:val="zh-TW" w:eastAsia="zh-TW"/>
              </w:rPr>
              <w:t>超过两天</w:t>
            </w:r>
          </w:p>
        </w:tc>
      </w:tr>
      <w:tr>
        <w:tblPrEx>
          <w:shd w:val="clear" w:color="auto" w:fill="d0ddef"/>
        </w:tblPrEx>
        <w:trPr>
          <w:trHeight w:val="1679" w:hRule="atLeast"/>
        </w:trPr>
        <w:tc>
          <w:tcPr>
            <w:tcW w:type="dxa" w:w="11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zh-TW" w:eastAsia="zh-TW"/>
              </w:rPr>
              <w:t>院士、全国知名专家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zh-TW" w:eastAsia="zh-TW"/>
              </w:rPr>
              <w:t>会议、现场访谈或者勘察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en-US"/>
              </w:rPr>
              <w:t>1350-2160</w:t>
            </w:r>
            <w:r>
              <w:rPr>
                <w:sz w:val="18"/>
                <w:szCs w:val="18"/>
                <w:rtl w:val="0"/>
                <w:lang w:val="zh-TW" w:eastAsia="zh-TW"/>
              </w:rPr>
              <w:t>元／人天（税后）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en-US"/>
              </w:rPr>
              <w:t>2250-3600</w:t>
            </w:r>
            <w:r>
              <w:rPr>
                <w:sz w:val="18"/>
                <w:szCs w:val="18"/>
                <w:rtl w:val="0"/>
                <w:lang w:val="zh-TW" w:eastAsia="zh-TW"/>
              </w:rPr>
              <w:t>元／人天（税后）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zh-TW" w:eastAsia="zh-TW"/>
              </w:rPr>
              <w:t>第一天、第二天：</w:t>
            </w:r>
            <w:r>
              <w:rPr>
                <w:sz w:val="18"/>
                <w:szCs w:val="18"/>
                <w:rtl w:val="0"/>
                <w:lang w:val="en-US"/>
              </w:rPr>
              <w:t>2250-3600</w:t>
            </w:r>
            <w:r>
              <w:rPr>
                <w:sz w:val="18"/>
                <w:szCs w:val="18"/>
                <w:rtl w:val="0"/>
                <w:lang w:val="zh-TW" w:eastAsia="zh-TW"/>
              </w:rPr>
              <w:t>元／人天（税后）；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zh-TW" w:eastAsia="zh-TW"/>
              </w:rPr>
              <w:t>第三天及以后：</w:t>
            </w:r>
            <w:r>
              <w:rPr>
                <w:sz w:val="18"/>
                <w:szCs w:val="18"/>
                <w:rtl w:val="0"/>
                <w:lang w:val="en-US"/>
              </w:rPr>
              <w:t>1125-1800</w:t>
            </w:r>
            <w:r>
              <w:rPr>
                <w:sz w:val="18"/>
                <w:szCs w:val="18"/>
                <w:rtl w:val="0"/>
                <w:lang w:val="zh-TW" w:eastAsia="zh-TW"/>
              </w:rPr>
              <w:t>元／人天（税后）</w:t>
            </w:r>
          </w:p>
        </w:tc>
      </w:tr>
      <w:tr>
        <w:tblPrEx>
          <w:shd w:val="clear" w:color="auto" w:fill="d0ddef"/>
        </w:tblPrEx>
        <w:trPr>
          <w:trHeight w:val="684" w:hRule="atLeast"/>
        </w:trPr>
        <w:tc>
          <w:tcPr>
            <w:tcW w:type="dxa" w:w="11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18"/>
                <w:szCs w:val="18"/>
                <w:rtl w:val="0"/>
                <w:lang w:val="zh-TW" w:eastAsia="zh-TW"/>
              </w:rPr>
              <w:t>通讯</w:t>
            </w:r>
          </w:p>
        </w:tc>
        <w:tc>
          <w:tcPr>
            <w:tcW w:type="dxa" w:w="59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sz w:val="18"/>
                <w:szCs w:val="18"/>
                <w:rtl w:val="0"/>
                <w:lang w:val="zh-TW" w:eastAsia="zh-TW"/>
              </w:rPr>
              <w:t>按次计算，每次按照上述规定标准的</w:t>
            </w:r>
            <w:r>
              <w:rPr>
                <w:sz w:val="18"/>
                <w:szCs w:val="18"/>
                <w:rtl w:val="0"/>
                <w:lang w:val="en-US"/>
              </w:rPr>
              <w:t>20-50%</w:t>
            </w:r>
            <w:r>
              <w:rPr>
                <w:sz w:val="18"/>
                <w:szCs w:val="18"/>
                <w:rtl w:val="0"/>
                <w:lang w:val="zh-TW" w:eastAsia="zh-TW"/>
              </w:rPr>
              <w:t>执行。</w:t>
            </w:r>
          </w:p>
        </w:tc>
      </w:tr>
      <w:tr>
        <w:tblPrEx>
          <w:shd w:val="clear" w:color="auto" w:fill="d0ddef"/>
        </w:tblPrEx>
        <w:trPr>
          <w:trHeight w:val="1590" w:hRule="atLeast"/>
        </w:trPr>
        <w:tc>
          <w:tcPr>
            <w:tcW w:type="dxa" w:w="11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zh-TW" w:eastAsia="zh-TW"/>
              </w:rPr>
              <w:t>高级专业技术职称人员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zh-TW" w:eastAsia="zh-TW"/>
              </w:rPr>
              <w:t>会议、现场访谈或者勘察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en-US"/>
              </w:rPr>
              <w:t>900-1440</w:t>
            </w:r>
            <w:r>
              <w:rPr>
                <w:sz w:val="18"/>
                <w:szCs w:val="18"/>
                <w:rtl w:val="0"/>
                <w:lang w:val="zh-TW" w:eastAsia="zh-TW"/>
              </w:rPr>
              <w:t>元／人天（税后）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en-US"/>
              </w:rPr>
              <w:t>1500-2400</w:t>
            </w:r>
            <w:r>
              <w:rPr>
                <w:sz w:val="18"/>
                <w:szCs w:val="18"/>
                <w:rtl w:val="0"/>
                <w:lang w:val="zh-TW" w:eastAsia="zh-TW"/>
              </w:rPr>
              <w:t>元／人天（税后）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zh-TW" w:eastAsia="zh-TW"/>
              </w:rPr>
              <w:t>第一天、第二天：</w:t>
            </w:r>
            <w:r>
              <w:rPr>
                <w:sz w:val="18"/>
                <w:szCs w:val="18"/>
                <w:rtl w:val="0"/>
                <w:lang w:val="en-US"/>
              </w:rPr>
              <w:t>1500-2400</w:t>
            </w:r>
            <w:r>
              <w:rPr>
                <w:sz w:val="18"/>
                <w:szCs w:val="18"/>
                <w:rtl w:val="0"/>
                <w:lang w:val="zh-TW" w:eastAsia="zh-TW"/>
              </w:rPr>
              <w:t>元／人天（税后）；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zh-TW" w:eastAsia="zh-TW"/>
              </w:rPr>
              <w:t>第三天及以后：</w:t>
            </w:r>
            <w:r>
              <w:rPr>
                <w:sz w:val="18"/>
                <w:szCs w:val="18"/>
                <w:rtl w:val="0"/>
                <w:lang w:val="en-US"/>
              </w:rPr>
              <w:t>750-1200</w:t>
            </w:r>
            <w:r>
              <w:rPr>
                <w:sz w:val="18"/>
                <w:szCs w:val="18"/>
                <w:rtl w:val="0"/>
                <w:lang w:val="zh-TW" w:eastAsia="zh-TW"/>
              </w:rPr>
              <w:t>元／人天（税后）</w:t>
            </w:r>
          </w:p>
        </w:tc>
      </w:tr>
      <w:tr>
        <w:tblPrEx>
          <w:shd w:val="clear" w:color="auto" w:fill="d0ddef"/>
        </w:tblPrEx>
        <w:trPr>
          <w:trHeight w:val="716" w:hRule="atLeast"/>
        </w:trPr>
        <w:tc>
          <w:tcPr>
            <w:tcW w:type="dxa" w:w="11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18"/>
                <w:szCs w:val="18"/>
                <w:rtl w:val="0"/>
                <w:lang w:val="zh-TW" w:eastAsia="zh-TW"/>
              </w:rPr>
              <w:t>通讯</w:t>
            </w:r>
          </w:p>
        </w:tc>
        <w:tc>
          <w:tcPr>
            <w:tcW w:type="dxa" w:w="59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zh-TW" w:eastAsia="zh-TW"/>
              </w:rPr>
              <w:t>按次计算，每次按照上述规定标准的</w:t>
            </w:r>
            <w:r>
              <w:rPr>
                <w:sz w:val="18"/>
                <w:szCs w:val="18"/>
                <w:rtl w:val="0"/>
                <w:lang w:val="en-US"/>
              </w:rPr>
              <w:t>20-50%</w:t>
            </w:r>
            <w:r>
              <w:rPr>
                <w:sz w:val="18"/>
                <w:szCs w:val="18"/>
                <w:rtl w:val="0"/>
                <w:lang w:val="zh-TW" w:eastAsia="zh-TW"/>
              </w:rPr>
              <w:t>执行。</w:t>
            </w:r>
          </w:p>
        </w:tc>
      </w:tr>
      <w:tr>
        <w:tblPrEx>
          <w:shd w:val="clear" w:color="auto" w:fill="d0ddef"/>
        </w:tblPrEx>
        <w:trPr>
          <w:trHeight w:val="1345" w:hRule="atLeast"/>
        </w:trPr>
        <w:tc>
          <w:tcPr>
            <w:tcW w:type="dxa" w:w="11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zh-TW" w:eastAsia="zh-TW"/>
              </w:rPr>
              <w:t>其他专业人员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zh-TW" w:eastAsia="zh-TW"/>
              </w:rPr>
              <w:t>会议、现场访谈或者勘察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en-US"/>
              </w:rPr>
              <w:t>540-900</w:t>
            </w:r>
            <w:r>
              <w:rPr>
                <w:sz w:val="18"/>
                <w:szCs w:val="18"/>
                <w:rtl w:val="0"/>
                <w:lang w:val="zh-TW" w:eastAsia="zh-TW"/>
              </w:rPr>
              <w:t>元／人天（税后）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en-US"/>
              </w:rPr>
              <w:t>900-1500</w:t>
            </w:r>
            <w:r>
              <w:rPr>
                <w:sz w:val="18"/>
                <w:szCs w:val="18"/>
                <w:rtl w:val="0"/>
                <w:lang w:val="zh-TW" w:eastAsia="zh-TW"/>
              </w:rPr>
              <w:t>元／人天（税后）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zh-TW" w:eastAsia="zh-TW"/>
              </w:rPr>
              <w:t>第一天、第二天：</w:t>
            </w:r>
            <w:r>
              <w:rPr>
                <w:sz w:val="18"/>
                <w:szCs w:val="18"/>
                <w:rtl w:val="0"/>
                <w:lang w:val="en-US"/>
              </w:rPr>
              <w:t>900-1500</w:t>
            </w:r>
            <w:r>
              <w:rPr>
                <w:sz w:val="18"/>
                <w:szCs w:val="18"/>
                <w:rtl w:val="0"/>
                <w:lang w:val="zh-TW" w:eastAsia="zh-TW"/>
              </w:rPr>
              <w:t>元／人天（税后）；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zh-TW" w:eastAsia="zh-TW"/>
              </w:rPr>
              <w:t>第三天及以后：</w:t>
            </w:r>
            <w:r>
              <w:rPr>
                <w:sz w:val="18"/>
                <w:szCs w:val="18"/>
                <w:rtl w:val="0"/>
                <w:lang w:val="en-US"/>
              </w:rPr>
              <w:t>450-750</w:t>
            </w:r>
            <w:r>
              <w:rPr>
                <w:sz w:val="18"/>
                <w:szCs w:val="18"/>
                <w:rtl w:val="0"/>
                <w:lang w:val="zh-TW" w:eastAsia="zh-TW"/>
              </w:rPr>
              <w:t>元／人天（税后）</w:t>
            </w:r>
          </w:p>
        </w:tc>
      </w:tr>
      <w:tr>
        <w:tblPrEx>
          <w:shd w:val="clear" w:color="auto" w:fill="d0ddef"/>
        </w:tblPrEx>
        <w:trPr>
          <w:trHeight w:val="814" w:hRule="atLeast"/>
        </w:trPr>
        <w:tc>
          <w:tcPr>
            <w:tcW w:type="dxa" w:w="11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zh-TW" w:eastAsia="zh-TW"/>
              </w:rPr>
              <w:t>通讯</w:t>
            </w:r>
          </w:p>
        </w:tc>
        <w:tc>
          <w:tcPr>
            <w:tcW w:type="dxa" w:w="59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zh-TW" w:eastAsia="zh-TW"/>
              </w:rPr>
              <w:t>按次计算，每次按照上述规定标准的</w:t>
            </w:r>
            <w:r>
              <w:rPr>
                <w:sz w:val="18"/>
                <w:szCs w:val="18"/>
                <w:rtl w:val="0"/>
                <w:lang w:val="en-US"/>
              </w:rPr>
              <w:t>20-50%</w:t>
            </w:r>
            <w:r>
              <w:rPr>
                <w:sz w:val="18"/>
                <w:szCs w:val="18"/>
                <w:rtl w:val="0"/>
                <w:lang w:val="zh-TW" w:eastAsia="zh-TW"/>
              </w:rPr>
              <w:t>执行。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</w:p>
        </w:tc>
      </w:tr>
    </w:tbl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</w:pPr>
    </w:p>
    <w:p>
      <w:pPr>
        <w:pStyle w:val="Normal.0"/>
        <w:tabs>
          <w:tab w:val="left" w:pos="1624"/>
        </w:tabs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</w:t>
      </w:r>
      <w:r>
        <w:rPr>
          <w:sz w:val="24"/>
          <w:szCs w:val="24"/>
          <w:rtl w:val="0"/>
          <w:lang w:val="zh-TW" w:eastAsia="zh-TW"/>
        </w:rPr>
        <w:t>、其他支出</w:t>
      </w:r>
      <w:r>
        <w:rPr>
          <w:sz w:val="24"/>
          <w:szCs w:val="24"/>
          <w:lang w:val="en-US"/>
        </w:rPr>
        <w:tab/>
      </w:r>
    </w:p>
    <w:p>
      <w:pPr>
        <w:pStyle w:val="Normal.0"/>
        <w:spacing w:line="360" w:lineRule="auto"/>
        <w:ind w:firstLine="480"/>
        <w:rPr>
          <w:rFonts w:ascii="Calibri" w:cs="Calibri" w:hAnsi="Calibri" w:eastAsia="Calibri"/>
          <w:b w:val="1"/>
          <w:bCs w:val="1"/>
          <w:sz w:val="24"/>
          <w:szCs w:val="24"/>
          <w:lang w:val="zh-TW" w:eastAsia="zh-TW"/>
        </w:rPr>
      </w:pPr>
      <w:r>
        <w:rPr>
          <w:sz w:val="24"/>
          <w:szCs w:val="24"/>
          <w:rtl w:val="0"/>
          <w:lang w:val="zh-TW" w:eastAsia="zh-TW"/>
        </w:rPr>
        <w:t>指除以上预算范围外的其他相关支出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zh-TW" w:eastAsia="zh-TW"/>
        </w:rPr>
        <w:t>，需列示开支内容及经费分配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</w:t>
      </w:r>
      <w:r>
        <w:rPr>
          <w:sz w:val="24"/>
          <w:szCs w:val="24"/>
          <w:rtl w:val="0"/>
          <w:lang w:val="zh-TW" w:eastAsia="zh-TW"/>
        </w:rPr>
        <w:t>、间接费用</w:t>
      </w:r>
    </w:p>
    <w:p>
      <w:pPr>
        <w:pStyle w:val="Normal.0"/>
        <w:spacing w:line="360" w:lineRule="auto"/>
        <w:ind w:firstLine="480"/>
        <w:rPr>
          <w:sz w:val="24"/>
          <w:szCs w:val="24"/>
          <w:lang w:val="zh-TW" w:eastAsia="zh-TW"/>
        </w:rPr>
      </w:pPr>
      <w:r>
        <w:rPr>
          <w:sz w:val="24"/>
          <w:szCs w:val="24"/>
          <w:rtl w:val="0"/>
          <w:lang w:val="zh-TW" w:eastAsia="zh-TW"/>
        </w:rPr>
        <w:t>间接费用一般不超过直接费用扣除设备购置费后的一定比例，结合承担单位信用情况，实行总额控制，具体比例如下：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（一）</w:t>
      </w:r>
      <w:r>
        <w:rPr>
          <w:sz w:val="24"/>
          <w:szCs w:val="24"/>
          <w:rtl w:val="0"/>
          <w:lang w:val="en-US"/>
        </w:rPr>
        <w:t>100</w:t>
      </w:r>
      <w:r>
        <w:rPr>
          <w:sz w:val="24"/>
          <w:szCs w:val="24"/>
          <w:rtl w:val="0"/>
          <w:lang w:val="zh-TW" w:eastAsia="zh-TW"/>
        </w:rPr>
        <w:t>万元以下的部分为</w:t>
      </w:r>
      <w:r>
        <w:rPr>
          <w:sz w:val="24"/>
          <w:szCs w:val="24"/>
          <w:rtl w:val="0"/>
          <w:lang w:val="en-US"/>
        </w:rPr>
        <w:t>30%</w:t>
      </w:r>
      <w:r>
        <w:rPr>
          <w:sz w:val="24"/>
          <w:szCs w:val="24"/>
          <w:rtl w:val="0"/>
          <w:lang w:val="zh-TW" w:eastAsia="zh-TW"/>
        </w:rPr>
        <w:t>；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（二）</w:t>
      </w:r>
      <w:r>
        <w:rPr>
          <w:sz w:val="24"/>
          <w:szCs w:val="24"/>
          <w:rtl w:val="0"/>
          <w:lang w:val="en-US"/>
        </w:rPr>
        <w:t>100</w:t>
      </w:r>
      <w:r>
        <w:rPr>
          <w:sz w:val="24"/>
          <w:szCs w:val="24"/>
          <w:rtl w:val="0"/>
          <w:lang w:val="zh-TW" w:eastAsia="zh-TW"/>
        </w:rPr>
        <w:t>万元（含</w:t>
      </w:r>
      <w:r>
        <w:rPr>
          <w:sz w:val="24"/>
          <w:szCs w:val="24"/>
          <w:rtl w:val="0"/>
          <w:lang w:val="en-US"/>
        </w:rPr>
        <w:t>100</w:t>
      </w:r>
      <w:r>
        <w:rPr>
          <w:sz w:val="24"/>
          <w:szCs w:val="24"/>
          <w:rtl w:val="0"/>
          <w:lang w:val="zh-TW" w:eastAsia="zh-TW"/>
        </w:rPr>
        <w:t>万元）至</w:t>
      </w:r>
      <w:r>
        <w:rPr>
          <w:sz w:val="24"/>
          <w:szCs w:val="24"/>
          <w:rtl w:val="0"/>
          <w:lang w:val="en-US"/>
        </w:rPr>
        <w:t>300</w:t>
      </w:r>
      <w:r>
        <w:rPr>
          <w:sz w:val="24"/>
          <w:szCs w:val="24"/>
          <w:rtl w:val="0"/>
          <w:lang w:val="zh-TW" w:eastAsia="zh-TW"/>
        </w:rPr>
        <w:t>万元的部分为</w:t>
      </w:r>
      <w:r>
        <w:rPr>
          <w:sz w:val="24"/>
          <w:szCs w:val="24"/>
          <w:rtl w:val="0"/>
          <w:lang w:val="en-US"/>
        </w:rPr>
        <w:t>25%</w:t>
      </w:r>
      <w:r>
        <w:rPr>
          <w:sz w:val="24"/>
          <w:szCs w:val="24"/>
          <w:rtl w:val="0"/>
          <w:lang w:val="zh-TW" w:eastAsia="zh-TW"/>
        </w:rPr>
        <w:t>；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（三）</w:t>
      </w:r>
      <w:r>
        <w:rPr>
          <w:sz w:val="24"/>
          <w:szCs w:val="24"/>
          <w:rtl w:val="0"/>
          <w:lang w:val="en-US"/>
        </w:rPr>
        <w:t>300</w:t>
      </w:r>
      <w:r>
        <w:rPr>
          <w:sz w:val="24"/>
          <w:szCs w:val="24"/>
          <w:rtl w:val="0"/>
          <w:lang w:val="zh-TW" w:eastAsia="zh-TW"/>
        </w:rPr>
        <w:t>万元（含</w:t>
      </w:r>
      <w:r>
        <w:rPr>
          <w:sz w:val="24"/>
          <w:szCs w:val="24"/>
          <w:rtl w:val="0"/>
          <w:lang w:val="en-US"/>
        </w:rPr>
        <w:t>300</w:t>
      </w:r>
      <w:r>
        <w:rPr>
          <w:sz w:val="24"/>
          <w:szCs w:val="24"/>
          <w:rtl w:val="0"/>
          <w:lang w:val="zh-TW" w:eastAsia="zh-TW"/>
        </w:rPr>
        <w:t>万元）至</w:t>
      </w:r>
      <w:r>
        <w:rPr>
          <w:sz w:val="24"/>
          <w:szCs w:val="24"/>
          <w:rtl w:val="0"/>
          <w:lang w:val="en-US"/>
        </w:rPr>
        <w:t>500</w:t>
      </w:r>
      <w:r>
        <w:rPr>
          <w:sz w:val="24"/>
          <w:szCs w:val="24"/>
          <w:rtl w:val="0"/>
          <w:lang w:val="zh-TW" w:eastAsia="zh-TW"/>
        </w:rPr>
        <w:t>万元的部分为</w:t>
      </w:r>
      <w:r>
        <w:rPr>
          <w:sz w:val="24"/>
          <w:szCs w:val="24"/>
          <w:rtl w:val="0"/>
          <w:lang w:val="en-US"/>
        </w:rPr>
        <w:t>20%</w:t>
      </w:r>
      <w:r>
        <w:rPr>
          <w:sz w:val="24"/>
          <w:szCs w:val="24"/>
          <w:rtl w:val="0"/>
          <w:lang w:val="zh-TW" w:eastAsia="zh-TW"/>
        </w:rPr>
        <w:t>；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>（四）</w:t>
      </w:r>
      <w:r>
        <w:rPr>
          <w:sz w:val="24"/>
          <w:szCs w:val="24"/>
          <w:rtl w:val="0"/>
          <w:lang w:val="en-US"/>
        </w:rPr>
        <w:t>500</w:t>
      </w:r>
      <w:r>
        <w:rPr>
          <w:sz w:val="24"/>
          <w:szCs w:val="24"/>
          <w:rtl w:val="0"/>
          <w:lang w:val="zh-TW" w:eastAsia="zh-TW"/>
        </w:rPr>
        <w:t>万元（含</w:t>
      </w:r>
      <w:r>
        <w:rPr>
          <w:sz w:val="24"/>
          <w:szCs w:val="24"/>
          <w:rtl w:val="0"/>
          <w:lang w:val="en-US"/>
        </w:rPr>
        <w:t>500</w:t>
      </w:r>
      <w:r>
        <w:rPr>
          <w:sz w:val="24"/>
          <w:szCs w:val="24"/>
          <w:rtl w:val="0"/>
          <w:lang w:val="zh-TW" w:eastAsia="zh-TW"/>
        </w:rPr>
        <w:t>万元）以上的部分为</w:t>
      </w:r>
      <w:r>
        <w:rPr>
          <w:sz w:val="24"/>
          <w:szCs w:val="24"/>
          <w:rtl w:val="0"/>
          <w:lang w:val="en-US"/>
        </w:rPr>
        <w:t>15%</w:t>
      </w:r>
      <w:r>
        <w:rPr>
          <w:sz w:val="24"/>
          <w:szCs w:val="24"/>
          <w:rtl w:val="0"/>
          <w:lang w:val="zh-TW" w:eastAsia="zh-TW"/>
        </w:rPr>
        <w:t>。</w:t>
      </w:r>
    </w:p>
    <w:p>
      <w:pPr>
        <w:pStyle w:val="Normal.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</w:t>
      </w:r>
      <w:r>
        <w:rPr>
          <w:sz w:val="24"/>
          <w:szCs w:val="24"/>
          <w:rtl w:val="0"/>
          <w:lang w:val="zh-TW" w:eastAsia="zh-TW"/>
        </w:rPr>
        <w:t>、管理费用</w:t>
      </w:r>
    </w:p>
    <w:p>
      <w:pPr>
        <w:pStyle w:val="Normal.0"/>
        <w:spacing w:line="360" w:lineRule="auto"/>
        <w:ind w:firstLine="480"/>
        <w:rPr>
          <w:sz w:val="24"/>
          <w:szCs w:val="24"/>
          <w:lang w:val="zh-TW" w:eastAsia="zh-TW"/>
        </w:rPr>
      </w:pPr>
      <w:r>
        <w:rPr>
          <w:sz w:val="24"/>
          <w:szCs w:val="24"/>
          <w:rtl w:val="0"/>
          <w:lang w:val="zh-TW" w:eastAsia="zh-TW"/>
        </w:rPr>
        <w:t>一律按总经费的</w:t>
      </w:r>
      <w:r>
        <w:rPr>
          <w:sz w:val="24"/>
          <w:szCs w:val="24"/>
          <w:rtl w:val="0"/>
          <w:lang w:val="en-US"/>
        </w:rPr>
        <w:t>5%</w:t>
      </w:r>
      <w:r>
        <w:rPr>
          <w:sz w:val="24"/>
          <w:szCs w:val="24"/>
          <w:rtl w:val="0"/>
          <w:lang w:val="zh-TW" w:eastAsia="zh-TW"/>
        </w:rPr>
        <w:t>填报</w:t>
      </w:r>
    </w:p>
    <w:p>
      <w:pPr>
        <w:pStyle w:val="Normal.0"/>
        <w:spacing w:line="360" w:lineRule="auto"/>
        <w:ind w:firstLine="480"/>
        <w:rPr>
          <w:sz w:val="24"/>
          <w:szCs w:val="24"/>
          <w:lang w:val="zh-TW" w:eastAsia="zh-TW"/>
        </w:rPr>
      </w:pPr>
    </w:p>
    <w:p>
      <w:pPr>
        <w:pStyle w:val="Normal.0"/>
        <w:spacing w:line="360" w:lineRule="auto"/>
        <w:ind w:firstLine="480"/>
        <w:rPr>
          <w:sz w:val="24"/>
          <w:szCs w:val="24"/>
          <w:lang w:val="zh-TW" w:eastAsia="zh-TW"/>
        </w:rPr>
      </w:pPr>
    </w:p>
    <w:p>
      <w:pPr>
        <w:pStyle w:val="默认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安徽省财政厅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安徽省科学技术厅关于印发《安徽省自然科学基金资助项目资金管理办法》的通知</w:t>
      </w:r>
    </w:p>
    <w:p>
      <w:pPr>
        <w:pStyle w:val="默认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ind w:left="0" w:right="0" w:firstLine="72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>http://kyc.hfut.edu.cn/2017/1205/c2108a111552/page.htm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