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F110">
      <w:pPr>
        <w:spacing w:before="156" w:beforeLines="50" w:after="156" w:afterLines="50" w:line="400" w:lineRule="exact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32"/>
          <w:szCs w:val="32"/>
        </w:rPr>
        <w:t>技术需求</w:t>
      </w:r>
      <w:r>
        <w:rPr>
          <w:rFonts w:ascii="宋体" w:hAnsi="宋体" w:cs="宋体"/>
          <w:b/>
          <w:sz w:val="32"/>
          <w:szCs w:val="32"/>
        </w:rPr>
        <w:t>汇总表</w:t>
      </w:r>
    </w:p>
    <w:tbl>
      <w:tblPr>
        <w:tblStyle w:val="5"/>
        <w:tblW w:w="134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979"/>
        <w:gridCol w:w="10396"/>
        <w:gridCol w:w="1163"/>
      </w:tblGrid>
      <w:tr w14:paraId="44B06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Align w:val="center"/>
          </w:tcPr>
          <w:p w14:paraId="379DE441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需求编号</w:t>
            </w:r>
          </w:p>
        </w:tc>
        <w:tc>
          <w:tcPr>
            <w:tcW w:w="979" w:type="dxa"/>
            <w:vAlign w:val="center"/>
          </w:tcPr>
          <w:p w14:paraId="3F4A6B9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需求名称</w:t>
            </w:r>
          </w:p>
        </w:tc>
        <w:tc>
          <w:tcPr>
            <w:tcW w:w="10396" w:type="dxa"/>
            <w:vAlign w:val="center"/>
          </w:tcPr>
          <w:p w14:paraId="250ED28E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需求内容</w:t>
            </w:r>
            <w:r>
              <w:rPr>
                <w:rFonts w:hint="eastAsia" w:ascii="Times New Roman" w:hAnsi="Times New Roman"/>
                <w:kern w:val="0"/>
                <w:sz w:val="24"/>
              </w:rPr>
              <w:t>(含考核指标)</w:t>
            </w:r>
          </w:p>
        </w:tc>
        <w:tc>
          <w:tcPr>
            <w:tcW w:w="1163" w:type="dxa"/>
            <w:vAlign w:val="center"/>
          </w:tcPr>
          <w:p w14:paraId="5EA3DFC0">
            <w:pPr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预算</w:t>
            </w:r>
          </w:p>
          <w:p w14:paraId="46ED550E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（万元）</w:t>
            </w:r>
          </w:p>
        </w:tc>
      </w:tr>
      <w:tr w14:paraId="0AD34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24" w:type="dxa"/>
            <w:vAlign w:val="center"/>
          </w:tcPr>
          <w:p w14:paraId="3DC89546">
            <w:pPr>
              <w:jc w:val="center"/>
              <w:rPr>
                <w:rFonts w:hint="eastAsia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979" w:type="dxa"/>
            <w:vAlign w:val="center"/>
          </w:tcPr>
          <w:p w14:paraId="53136323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车身结构胶单面粘失效机理关键技术研究</w:t>
            </w:r>
          </w:p>
        </w:tc>
        <w:tc>
          <w:tcPr>
            <w:tcW w:w="10396" w:type="dxa"/>
            <w:vAlign w:val="center"/>
          </w:tcPr>
          <w:p w14:paraId="52239513">
            <w:pPr>
              <w:widowControl/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研究内容：</w:t>
            </w:r>
          </w:p>
          <w:p w14:paraId="2A677715">
            <w:pPr>
              <w:widowControl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测量不同温度、不同固化时间下结构胶的拉伸强度、剪切强度、杨氏、切变弹性模量以及泊松比等；</w:t>
            </w:r>
          </w:p>
          <w:p w14:paraId="4EF454A3">
            <w:pPr>
              <w:widowControl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评估金属(含钢/铝/钢铝组合等)粘接材料在高温环境下的热回弹性能，分析其热稳定性和耐久性，为工程应用提供必要的实验数据支持；</w:t>
            </w:r>
          </w:p>
          <w:p w14:paraId="087EB4FE">
            <w:pPr>
              <w:widowControl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三、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评估金属(含钢/铝/钢铝组合等)粘接材料金属粘接材料表面粗糙度、型面变化及受力等因素对粘接性能的影响；</w:t>
            </w:r>
          </w:p>
          <w:p w14:paraId="4E556AD0">
            <w:pPr>
              <w:widowControl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四、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搭建胶接接头不同失效模式的预测模型；</w:t>
            </w:r>
          </w:p>
          <w:p w14:paraId="1B8D00A0">
            <w:pPr>
              <w:widowControl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五、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验证胶接接头强度等力学性能预测模型，体现多因素的影响，精准倒推出结构胶微观层面的断裂能和界面强度；</w:t>
            </w:r>
          </w:p>
          <w:p w14:paraId="29CF2536">
            <w:pPr>
              <w:widowControl/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核心指标：</w:t>
            </w:r>
          </w:p>
          <w:p w14:paraId="2C9F9E01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一、</w:t>
            </w: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模型仿真结果满足以下要求：</w:t>
            </w:r>
          </w:p>
          <w:p w14:paraId="2E4934B1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单搭接接头验证:</w:t>
            </w:r>
          </w:p>
          <w:p w14:paraId="6A529064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仿真模型输出的峰值载荷与标准样件物理实验测得的相对误差＜10%；仿真得出的“载荷-位移曲线”与实验曲线的决定系数R^2达到 0.90 以上;</w:t>
            </w:r>
          </w:p>
          <w:p w14:paraId="362035F8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失效模式一致率达90%以上;</w:t>
            </w:r>
          </w:p>
          <w:p w14:paraId="63CBC3DC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实车零部件验证:</w:t>
            </w:r>
          </w:p>
          <w:p w14:paraId="4FF8BA4F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仿真模型输出的峰值载荷与实车零部件实验测得的相对误差＜20%；</w:t>
            </w:r>
          </w:p>
          <w:p w14:paraId="271CA78A">
            <w:pPr>
              <w:widowControl/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仿真得出的“载荷-位移曲线”与实验曲线的决定系数R^2达到 0.80 以上；</w:t>
            </w:r>
          </w:p>
          <w:p w14:paraId="1C918E21">
            <w:pPr>
              <w:widowControl/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kern w:val="0"/>
                <w:sz w:val="24"/>
                <w:lang w:val="en-US" w:eastAsia="zh-CN"/>
              </w:rPr>
              <w:t>失效模式一致率达80%以上;</w:t>
            </w:r>
          </w:p>
        </w:tc>
        <w:tc>
          <w:tcPr>
            <w:tcW w:w="1163" w:type="dxa"/>
            <w:vAlign w:val="center"/>
          </w:tcPr>
          <w:p w14:paraId="7D12C0B4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44.3</w:t>
            </w:r>
          </w:p>
        </w:tc>
      </w:tr>
      <w:tr w14:paraId="7D6F2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924" w:type="dxa"/>
            <w:vAlign w:val="center"/>
          </w:tcPr>
          <w:p w14:paraId="665323C4">
            <w:pPr>
              <w:jc w:val="center"/>
              <w:rPr>
                <w:rFonts w:hint="eastAsia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979" w:type="dxa"/>
            <w:vAlign w:val="center"/>
          </w:tcPr>
          <w:p w14:paraId="1E9003FA"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轴向磁通轮毂电驱动关键技术研究</w:t>
            </w:r>
          </w:p>
        </w:tc>
        <w:tc>
          <w:tcPr>
            <w:tcW w:w="10396" w:type="dxa"/>
            <w:vAlign w:val="center"/>
          </w:tcPr>
          <w:p w14:paraId="68186B9A">
            <w:pP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研究内容:</w:t>
            </w:r>
          </w:p>
          <w:p w14:paraId="7BD8C9FA">
            <w:pPr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主要负责方案设计、仿真分析、样机试制等，并完成台架搭建和测试验证等工作。</w:t>
            </w:r>
          </w:p>
          <w:p w14:paraId="4EEEB076">
            <w:pPr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开展电驱创新集成设计与优化；</w:t>
            </w:r>
          </w:p>
          <w:p w14:paraId="673E97C3">
            <w:pPr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开展多物理场耦合下的多领域仿真设计分析研究，基于轴向磁通电机的轮毂电驱动控制策略及算法研究；</w:t>
            </w:r>
          </w:p>
          <w:p w14:paraId="2D5D6EB8">
            <w:pPr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三、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开展轴向磁通轮毂电驱动原型样机试制；</w:t>
            </w:r>
          </w:p>
          <w:p w14:paraId="15F54545">
            <w:pPr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四、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配合完成台架搭建和测试验证等工作。</w:t>
            </w:r>
          </w:p>
          <w:p w14:paraId="33C6DE46">
            <w:pP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核心指标：</w:t>
            </w:r>
          </w:p>
          <w:p w14:paraId="3D911416">
            <w:pP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一</w:t>
            </w:r>
            <w: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  <w:t>、完成轴向磁通轮毂电驱动集成设计和仿真验证，模型仿真精度≥95%；</w:t>
            </w:r>
          </w:p>
          <w:p w14:paraId="4AB6349C">
            <w:pP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二</w:t>
            </w:r>
            <w: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  <w:t>、完成轴向磁通轮毂电驱动控制开发，转速控制精度≤2‰，转矩响应时间≤100ms，热管理控制误差≤5%;</w:t>
            </w:r>
          </w:p>
          <w:p w14:paraId="59402763">
            <w:pP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三</w:t>
            </w:r>
            <w:r>
              <w:rPr>
                <w:rFonts w:hint="default" w:ascii="Times New Roman" w:hAnsi="Times New Roman"/>
                <w:kern w:val="0"/>
                <w:sz w:val="24"/>
                <w:lang w:val="en-US" w:eastAsia="zh-CN"/>
              </w:rPr>
              <w:t>、完成轴向磁通轮毂电驱动测试验证，样机扭矩密度≥24Nm/kg，最大效率≥93%。</w:t>
            </w:r>
          </w:p>
        </w:tc>
        <w:tc>
          <w:tcPr>
            <w:tcW w:w="1163" w:type="dxa"/>
            <w:vAlign w:val="center"/>
          </w:tcPr>
          <w:p w14:paraId="313D8361">
            <w:pPr>
              <w:jc w:val="center"/>
              <w:rPr>
                <w:rFonts w:hint="default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95</w:t>
            </w:r>
          </w:p>
        </w:tc>
      </w:tr>
      <w:tr w14:paraId="54BDE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  <w:jc w:val="center"/>
        </w:trPr>
        <w:tc>
          <w:tcPr>
            <w:tcW w:w="924" w:type="dxa"/>
            <w:vAlign w:val="center"/>
          </w:tcPr>
          <w:p w14:paraId="2CE1D9C1">
            <w:pPr>
              <w:jc w:val="center"/>
              <w:rPr>
                <w:rFonts w:hint="eastAsia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979" w:type="dxa"/>
            <w:vAlign w:val="center"/>
          </w:tcPr>
          <w:p w14:paraId="6F6B7CFA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bookmarkStart w:id="0" w:name="_GoBack"/>
            <w:r>
              <w:rPr>
                <w:rFonts w:hint="eastAsia" w:ascii="Times New Roman" w:hAnsi="Times New Roman"/>
                <w:kern w:val="0"/>
                <w:sz w:val="24"/>
              </w:rPr>
              <w:t>新型集成热管理系统与自适应能-热协同控制方法关键技术研究</w:t>
            </w:r>
            <w:bookmarkEnd w:id="0"/>
          </w:p>
        </w:tc>
        <w:tc>
          <w:tcPr>
            <w:tcW w:w="10396" w:type="dxa"/>
            <w:vAlign w:val="center"/>
          </w:tcPr>
          <w:p w14:paraId="0660FACA">
            <w:pPr>
              <w:widowControl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研究内容：</w:t>
            </w:r>
          </w:p>
          <w:p w14:paraId="3C116E72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主要负责储热装置和热管理系统方案设计、仿真分析、样机试制和控制算法开发等，并进行热管理台架搭建和测试验证等工作。</w:t>
            </w:r>
          </w:p>
          <w:p w14:paraId="2E235F24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开展储热装置设计与优化、仿真分析，样机试制与测试；</w:t>
            </w:r>
          </w:p>
          <w:p w14:paraId="5F613B77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开展集成热管理系统架构设计，建模仿真与优化；</w:t>
            </w:r>
          </w:p>
          <w:p w14:paraId="7D111A36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三、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进行协同控制算法开发；</w:t>
            </w:r>
          </w:p>
          <w:p w14:paraId="631F973F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四、</w:t>
            </w:r>
            <w:r>
              <w:rPr>
                <w:rFonts w:hint="eastAsia" w:ascii="Times New Roman" w:hAnsi="Times New Roman"/>
                <w:kern w:val="0"/>
                <w:sz w:val="24"/>
              </w:rPr>
              <w:t>搭建热管理试验台架，进行台架试验测试。</w:t>
            </w:r>
          </w:p>
          <w:p w14:paraId="44D30FD9">
            <w:pPr>
              <w:widowControl/>
              <w:textAlignment w:val="center"/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val="en-US" w:eastAsia="zh-CN"/>
              </w:rPr>
              <w:t>核心指标：</w:t>
            </w:r>
          </w:p>
          <w:p w14:paraId="1275861D">
            <w:pPr>
              <w:widowControl/>
              <w:textAlignment w:val="center"/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整车低温能耗和热舒适性有明显改善：</w:t>
            </w:r>
          </w:p>
          <w:p w14:paraId="70E670D4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低温能耗改善率≥10%；</w:t>
            </w:r>
          </w:p>
          <w:p w14:paraId="3A9DBB5F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2、低温座舱热舒适性改善≥20%；</w:t>
            </w:r>
          </w:p>
          <w:p w14:paraId="1248853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textAlignment w:val="center"/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储热装置对座舱独立加热时间&gt;40min；</w:t>
            </w:r>
          </w:p>
          <w:p w14:paraId="09A6880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4、储热装置能量密度&gt;100Wh/kg.</w:t>
            </w:r>
          </w:p>
        </w:tc>
        <w:tc>
          <w:tcPr>
            <w:tcW w:w="1163" w:type="dxa"/>
            <w:vAlign w:val="center"/>
          </w:tcPr>
          <w:p w14:paraId="5527BDE5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90</w:t>
            </w:r>
          </w:p>
        </w:tc>
      </w:tr>
    </w:tbl>
    <w:p w14:paraId="5E35004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1636B7"/>
    <w:multiLevelType w:val="singleLevel"/>
    <w:tmpl w:val="501636B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8B"/>
    <w:rsid w:val="00230B6E"/>
    <w:rsid w:val="004837C2"/>
    <w:rsid w:val="005776B9"/>
    <w:rsid w:val="0059358B"/>
    <w:rsid w:val="006407D7"/>
    <w:rsid w:val="008A003E"/>
    <w:rsid w:val="00DA1AC9"/>
    <w:rsid w:val="094439E3"/>
    <w:rsid w:val="58374845"/>
    <w:rsid w:val="660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</Words>
  <Characters>46</Characters>
  <Lines>1</Lines>
  <Paragraphs>1</Paragraphs>
  <TotalTime>46</TotalTime>
  <ScaleCrop>false</ScaleCrop>
  <LinksUpToDate>false</LinksUpToDate>
  <CharactersWithSpaces>53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2021-12-09T08:37:00Z</dcterms:created>
  <dc:creator>HP</dc:creator>
  <cp:lastModifiedBy>GF20250335</cp:lastModifiedBy>
  <dcterms:modified xsi:type="dcterms:W3CDTF">2026-07-16T08:58:23Z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0F384238232D4434B44AC72527B83104_13</vt:lpwstr>
  </property>
</Properties>
</file>