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F110" w14:textId="77777777" w:rsidR="006407D7" w:rsidRDefault="006407D7" w:rsidP="006407D7">
      <w:pPr>
        <w:spacing w:line="400" w:lineRule="exact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32"/>
          <w:szCs w:val="32"/>
        </w:rPr>
        <w:t>附件</w:t>
      </w:r>
      <w:r>
        <w:rPr>
          <w:rFonts w:ascii="宋体" w:hAnsi="宋体" w:cs="宋体"/>
          <w:b/>
          <w:sz w:val="32"/>
          <w:szCs w:val="32"/>
        </w:rPr>
        <w:t>1：</w:t>
      </w:r>
      <w:r>
        <w:rPr>
          <w:rFonts w:ascii="宋体" w:hAnsi="宋体" w:cs="宋体" w:hint="eastAsia"/>
          <w:b/>
          <w:sz w:val="32"/>
          <w:szCs w:val="32"/>
        </w:rPr>
        <w:t>2021年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桐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城市产业创新引导资金项目技术需求</w:t>
      </w:r>
      <w:r>
        <w:rPr>
          <w:rFonts w:ascii="宋体" w:hAnsi="宋体" w:cs="宋体"/>
          <w:b/>
          <w:sz w:val="32"/>
          <w:szCs w:val="32"/>
        </w:rPr>
        <w:t>汇总表</w:t>
      </w:r>
    </w:p>
    <w:tbl>
      <w:tblPr>
        <w:tblStyle w:val="a7"/>
        <w:tblW w:w="129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40"/>
        <w:gridCol w:w="2507"/>
        <w:gridCol w:w="8861"/>
      </w:tblGrid>
      <w:tr w:rsidR="006407D7" w14:paraId="44B062BC" w14:textId="77777777" w:rsidTr="007C2D85">
        <w:trPr>
          <w:trHeight w:val="527"/>
          <w:jc w:val="center"/>
        </w:trPr>
        <w:tc>
          <w:tcPr>
            <w:tcW w:w="1540" w:type="dxa"/>
            <w:vAlign w:val="center"/>
          </w:tcPr>
          <w:p w14:paraId="379DE441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需求编号</w:t>
            </w:r>
          </w:p>
        </w:tc>
        <w:tc>
          <w:tcPr>
            <w:tcW w:w="2507" w:type="dxa"/>
            <w:vAlign w:val="center"/>
          </w:tcPr>
          <w:p w14:paraId="3F4A6B9A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需求名称</w:t>
            </w:r>
          </w:p>
        </w:tc>
        <w:tc>
          <w:tcPr>
            <w:tcW w:w="8861" w:type="dxa"/>
            <w:vAlign w:val="center"/>
          </w:tcPr>
          <w:p w14:paraId="250ED28E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需求内容</w:t>
            </w:r>
          </w:p>
        </w:tc>
        <w:bookmarkStart w:id="0" w:name="_GoBack"/>
        <w:bookmarkEnd w:id="0"/>
      </w:tr>
      <w:tr w:rsidR="006407D7" w14:paraId="0AD346E3" w14:textId="77777777" w:rsidTr="007C2D85">
        <w:trPr>
          <w:trHeight w:val="1972"/>
          <w:jc w:val="center"/>
        </w:trPr>
        <w:tc>
          <w:tcPr>
            <w:tcW w:w="1540" w:type="dxa"/>
            <w:vAlign w:val="center"/>
          </w:tcPr>
          <w:p w14:paraId="3DC89546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-001</w:t>
            </w:r>
          </w:p>
        </w:tc>
        <w:tc>
          <w:tcPr>
            <w:tcW w:w="2507" w:type="dxa"/>
            <w:vAlign w:val="center"/>
          </w:tcPr>
          <w:p w14:paraId="53136323" w14:textId="77777777" w:rsidR="006407D7" w:rsidRDefault="006407D7" w:rsidP="007C2D85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诊断医疗器械产品开发及产业化</w:t>
            </w:r>
          </w:p>
        </w:tc>
        <w:tc>
          <w:tcPr>
            <w:tcW w:w="8861" w:type="dxa"/>
            <w:vAlign w:val="center"/>
          </w:tcPr>
          <w:p w14:paraId="29CF2536" w14:textId="77777777" w:rsidR="006407D7" w:rsidRDefault="006407D7" w:rsidP="007C2D85"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用于疾病诊断的侧向层析诊断产品在生产过程中灵敏度低，重复性不满足方法学和国家审批要求以及部分疾病标志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物快速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筛查方法缺乏。本项目研究疾病标志物荧光侧向层析检测关键技术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，主要研发内容包括（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针对消化道出血标志物，研发快速定量分析方法，研制定量检测产品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研发</w:t>
            </w:r>
            <w:r>
              <w:rPr>
                <w:rFonts w:ascii="Times New Roman" w:hAnsi="Times New Roman"/>
                <w:color w:val="000000"/>
                <w:sz w:val="24"/>
              </w:rPr>
              <w:t>Ⅰ</w:t>
            </w:r>
            <w:r>
              <w:rPr>
                <w:rFonts w:ascii="Times New Roman" w:hAnsi="Times New Roman"/>
                <w:color w:val="000000"/>
                <w:sz w:val="24"/>
              </w:rPr>
              <w:t>类致癌原幽门螺杆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快速抗原分型检测侧向层析检测产品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建立肝癌早期诊断新型标志物高尔基体跨膜糖蛋白</w:t>
            </w: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</w:rPr>
              <w:t>快速筛查新技术；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筛选敏感指标，建立萎缩性胃炎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胃癌快速诊断产品。</w:t>
            </w:r>
          </w:p>
        </w:tc>
      </w:tr>
      <w:tr w:rsidR="006407D7" w14:paraId="7D6F2B6C" w14:textId="77777777" w:rsidTr="007C2D85">
        <w:trPr>
          <w:trHeight w:val="1503"/>
          <w:jc w:val="center"/>
        </w:trPr>
        <w:tc>
          <w:tcPr>
            <w:tcW w:w="1540" w:type="dxa"/>
            <w:vAlign w:val="center"/>
          </w:tcPr>
          <w:p w14:paraId="665323C4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-00</w:t>
            </w: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2507" w:type="dxa"/>
            <w:vAlign w:val="center"/>
          </w:tcPr>
          <w:p w14:paraId="1E9003FA" w14:textId="77777777" w:rsidR="006407D7" w:rsidRDefault="006407D7" w:rsidP="007C2D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泥碴制砖技术与产业化</w:t>
            </w:r>
          </w:p>
        </w:tc>
        <w:tc>
          <w:tcPr>
            <w:tcW w:w="8861" w:type="dxa"/>
            <w:vAlign w:val="center"/>
          </w:tcPr>
          <w:p w14:paraId="15F54545" w14:textId="77777777" w:rsidR="006407D7" w:rsidRDefault="006407D7" w:rsidP="007C2D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在生产碎石和机制</w:t>
            </w:r>
            <w:proofErr w:type="gramStart"/>
            <w:r>
              <w:rPr>
                <w:rFonts w:ascii="Times New Roman" w:hAnsi="Times New Roman"/>
                <w:sz w:val="24"/>
              </w:rPr>
              <w:t>砂</w:t>
            </w:r>
            <w:proofErr w:type="gramEnd"/>
            <w:r>
              <w:rPr>
                <w:rFonts w:ascii="Times New Roman" w:hAnsi="Times New Roman"/>
                <w:sz w:val="24"/>
              </w:rPr>
              <w:t>过程中产生大量泥碴，带来环境二次污染，亟需有效处置。本项目研究泥</w:t>
            </w:r>
            <w:proofErr w:type="gramStart"/>
            <w:r>
              <w:rPr>
                <w:rFonts w:ascii="Times New Roman" w:hAnsi="Times New Roman"/>
                <w:sz w:val="24"/>
              </w:rPr>
              <w:t>碴生产</w:t>
            </w:r>
            <w:proofErr w:type="gramEnd"/>
            <w:r>
              <w:rPr>
                <w:rFonts w:ascii="Times New Roman" w:hAnsi="Times New Roman"/>
                <w:sz w:val="24"/>
              </w:rPr>
              <w:t>建筑用砖的关键应用技术</w:t>
            </w:r>
            <w:r>
              <w:rPr>
                <w:rFonts w:ascii="Times New Roman" w:hAnsi="Times New Roman" w:hint="eastAsia"/>
                <w:sz w:val="24"/>
              </w:rPr>
              <w:t>，本项目</w:t>
            </w:r>
            <w:r>
              <w:rPr>
                <w:rFonts w:ascii="Times New Roman" w:hAnsi="Times New Roman"/>
                <w:sz w:val="24"/>
              </w:rPr>
              <w:t>主要</w:t>
            </w:r>
            <w:r>
              <w:rPr>
                <w:rFonts w:ascii="Times New Roman" w:hAnsi="Times New Roman" w:hint="eastAsia"/>
                <w:sz w:val="24"/>
              </w:rPr>
              <w:t>研发</w:t>
            </w:r>
            <w:r>
              <w:rPr>
                <w:rFonts w:ascii="Times New Roman" w:hAnsi="Times New Roman"/>
                <w:sz w:val="24"/>
              </w:rPr>
              <w:t>内容包括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泥碴脱水、分散与固化技术</w:t>
            </w:r>
            <w:r>
              <w:rPr>
                <w:rFonts w:ascii="Times New Roman" w:hAnsi="Times New Roman" w:hint="eastAsia"/>
                <w:sz w:val="24"/>
              </w:rPr>
              <w:t>及</w:t>
            </w:r>
            <w:r>
              <w:rPr>
                <w:rFonts w:ascii="Times New Roman" w:hAnsi="Times New Roman"/>
                <w:sz w:val="24"/>
              </w:rPr>
              <w:t>泥碴砖组成配比设计；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生产工艺优化、设备选型</w:t>
            </w:r>
            <w:r>
              <w:rPr>
                <w:rFonts w:ascii="Times New Roman" w:hAnsi="Times New Roman" w:hint="eastAsia"/>
                <w:sz w:val="24"/>
              </w:rPr>
              <w:t>，以及</w:t>
            </w:r>
            <w:r>
              <w:rPr>
                <w:rFonts w:ascii="Times New Roman" w:hAnsi="Times New Roman"/>
                <w:sz w:val="24"/>
              </w:rPr>
              <w:t>中试生产等</w:t>
            </w:r>
            <w:r>
              <w:rPr>
                <w:rFonts w:ascii="Times New Roman" w:hAnsi="Times New Roman" w:hint="eastAsia"/>
                <w:sz w:val="24"/>
              </w:rPr>
              <w:t>；（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建成生产线一条，泥碴废弃物全部资源化，为同类废弃物处理提供示范。</w:t>
            </w:r>
          </w:p>
        </w:tc>
      </w:tr>
      <w:tr w:rsidR="006407D7" w14:paraId="54BDE656" w14:textId="77777777" w:rsidTr="007C2D85">
        <w:trPr>
          <w:trHeight w:val="2426"/>
          <w:jc w:val="center"/>
        </w:trPr>
        <w:tc>
          <w:tcPr>
            <w:tcW w:w="1540" w:type="dxa"/>
            <w:vAlign w:val="center"/>
          </w:tcPr>
          <w:p w14:paraId="2CE1D9C1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-00</w:t>
            </w: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2507" w:type="dxa"/>
            <w:vAlign w:val="center"/>
          </w:tcPr>
          <w:p w14:paraId="6F6B7CFA" w14:textId="77777777" w:rsidR="006407D7" w:rsidRDefault="006407D7" w:rsidP="007C2D85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幽门螺杆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快速检测用闪烁采样瓶智能制造与检测生产线研发</w:t>
            </w:r>
          </w:p>
        </w:tc>
        <w:tc>
          <w:tcPr>
            <w:tcW w:w="8861" w:type="dxa"/>
            <w:vAlign w:val="center"/>
          </w:tcPr>
          <w:p w14:paraId="09A6880C" w14:textId="77777777" w:rsidR="006407D7" w:rsidRDefault="006407D7" w:rsidP="007C2D85">
            <w:pPr>
              <w:widowControl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采用呼出气体中碳同位素进行幽门螺杆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检测可以达到快速、敏捷、准确的效果，医用快速闪烁采样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瓶需求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迫切，具有广泛的市场前景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  <w:r>
              <w:rPr>
                <w:rFonts w:ascii="Times New Roman" w:hAnsi="Times New Roman"/>
                <w:color w:val="000000"/>
                <w:sz w:val="24"/>
              </w:rPr>
              <w:t>然而，闪烁试剂瓶制造中自动化、智能化程度亟待提升。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本项目主要研发内容包括（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针对采样瓶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研发相应高精度、低功耗、低噪音、环境安全的非标自动化生产线，涵盖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>设备，用于内部检测圆片材料的生产、药水浸润、转运环节和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</w:rPr>
              <w:t>设备，用于试剂瓶内异质圆片及分隔胶片的序列化装配。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设计相应智能检测系统，完成对设备和产品的运行状态和质量的全过程追溯。</w:t>
            </w:r>
          </w:p>
        </w:tc>
      </w:tr>
      <w:tr w:rsidR="006407D7" w14:paraId="28D4DB08" w14:textId="77777777" w:rsidTr="007C2D85">
        <w:trPr>
          <w:trHeight w:val="1996"/>
          <w:jc w:val="center"/>
        </w:trPr>
        <w:tc>
          <w:tcPr>
            <w:tcW w:w="1540" w:type="dxa"/>
            <w:vAlign w:val="center"/>
          </w:tcPr>
          <w:p w14:paraId="143A5101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TC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-00</w:t>
            </w:r>
            <w:r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2507" w:type="dxa"/>
            <w:vAlign w:val="center"/>
          </w:tcPr>
          <w:p w14:paraId="1C424C16" w14:textId="77777777" w:rsidR="006407D7" w:rsidRDefault="006407D7" w:rsidP="007C2D85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面向膜生产设备的可靠性增长试验及低碳生产技术研发</w:t>
            </w:r>
          </w:p>
        </w:tc>
        <w:tc>
          <w:tcPr>
            <w:tcW w:w="8861" w:type="dxa"/>
            <w:vAlign w:val="center"/>
          </w:tcPr>
          <w:p w14:paraId="366DAEBA" w14:textId="77777777" w:rsidR="006407D7" w:rsidRDefault="006407D7" w:rsidP="007C2D85">
            <w:pPr>
              <w:widowControl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膜生产设备具有大载荷、高能耗、不间断的特点，对关键零部件，如轴承、刀具等，造成较大负担。为确保生产设备服役期内的可靠性，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本项目主要研发内容包括（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针对膜生产设备及其关键零部件的连续完整闭环控制环节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hAnsi="Times New Roman"/>
                <w:color w:val="000000"/>
                <w:sz w:val="24"/>
              </w:rPr>
              <w:t>提出可靠性增长试验方案并研发相应试验设备与工艺，从而发现关键零部件的设计缺陷，并实施纠正措施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针对膜生产全过程中高能耗、高碳排的特点，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研发全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生产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过程碳排监测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设备，通过调整生产工艺等手段，降低设备能耗提升生产效率。</w:t>
            </w:r>
          </w:p>
        </w:tc>
      </w:tr>
      <w:tr w:rsidR="006407D7" w14:paraId="00059EAA" w14:textId="77777777" w:rsidTr="007C2D85">
        <w:trPr>
          <w:trHeight w:val="1996"/>
          <w:jc w:val="center"/>
        </w:trPr>
        <w:tc>
          <w:tcPr>
            <w:tcW w:w="1540" w:type="dxa"/>
            <w:vAlign w:val="center"/>
          </w:tcPr>
          <w:p w14:paraId="08E383FF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TC-2021-005</w:t>
            </w:r>
          </w:p>
        </w:tc>
        <w:tc>
          <w:tcPr>
            <w:tcW w:w="2507" w:type="dxa"/>
            <w:vAlign w:val="center"/>
          </w:tcPr>
          <w:p w14:paraId="1B4B890F" w14:textId="77777777" w:rsidR="006407D7" w:rsidRDefault="006407D7" w:rsidP="007C2D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无菌水处理系统及胶囊标记物的生产技术研发</w:t>
            </w:r>
          </w:p>
        </w:tc>
        <w:tc>
          <w:tcPr>
            <w:tcW w:w="8861" w:type="dxa"/>
            <w:vAlign w:val="center"/>
          </w:tcPr>
          <w:p w14:paraId="3BD5B980" w14:textId="77777777" w:rsidR="006407D7" w:rsidRDefault="006407D7" w:rsidP="007C2D85">
            <w:pPr>
              <w:widowControl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项目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>：目前市场上用于医院内镜末端清洗的用水均为纯化水处理设备，末端出水及管道都有滋生细菌，不符合《内镜清洗消毒技术规范》要求。为确保由于内镜末端清洗技术不规范而导致患者交叉感染的问题，本项目主要研发内容包括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）研发智能化的灭菌系统，调控臭氧杀灭因子强度来确保设备出水水质及管道菌落总数为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0CFU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）研发智能化的无菌水处理系统，方便科室临床使用及售后维护；（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）研发自动检测功能，可以让临床科室对设备产水水质自主监测，无须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院感办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>来检测。</w:t>
            </w:r>
          </w:p>
          <w:p w14:paraId="113A2E0F" w14:textId="77777777" w:rsidR="006407D7" w:rsidRDefault="006407D7" w:rsidP="007C2D85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项目二：胃肠动力标记物胶囊是胶囊内填装不透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X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射线的医用硫酸钡与医用级硅胶的混合物，在吞服后规定的时间内，拍摄腹部平片来观察标记物在</w:t>
            </w:r>
            <w:r>
              <w:rPr>
                <w:rFonts w:ascii="Times New Roman" w:hAnsi="Times New Roman" w:hint="eastAsia"/>
                <w:sz w:val="24"/>
              </w:rPr>
              <w:t>消化道内的数量、分布位置和排出等情况判断肠胃蠕动功能的诊断结果，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本项目的主要研发内容包括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(1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）明胶空心胶囊的熔点很低，通过试验论证找出合适温度来设计产品的老化试验；（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）在常规的胶囊填充设备基础上研发标记物胶囊的填充技术，可以满足每颗胶囊精准填充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个标记物的需求。</w:t>
            </w:r>
          </w:p>
        </w:tc>
      </w:tr>
      <w:tr w:rsidR="006407D7" w14:paraId="2E0DF995" w14:textId="77777777" w:rsidTr="007C2D85">
        <w:trPr>
          <w:trHeight w:val="1508"/>
          <w:jc w:val="center"/>
        </w:trPr>
        <w:tc>
          <w:tcPr>
            <w:tcW w:w="1540" w:type="dxa"/>
            <w:vAlign w:val="center"/>
          </w:tcPr>
          <w:p w14:paraId="72A48F7C" w14:textId="77777777" w:rsidR="006407D7" w:rsidRDefault="006407D7" w:rsidP="007C2D8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TC-2021-006</w:t>
            </w:r>
          </w:p>
        </w:tc>
        <w:tc>
          <w:tcPr>
            <w:tcW w:w="2507" w:type="dxa"/>
            <w:vAlign w:val="center"/>
          </w:tcPr>
          <w:p w14:paraId="2E217CF0" w14:textId="77777777" w:rsidR="006407D7" w:rsidRDefault="006407D7" w:rsidP="007C2D85">
            <w:pPr>
              <w:widowControl/>
              <w:jc w:val="left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近场通信芯片</w:t>
            </w:r>
          </w:p>
        </w:tc>
        <w:tc>
          <w:tcPr>
            <w:tcW w:w="8861" w:type="dxa"/>
            <w:vAlign w:val="center"/>
          </w:tcPr>
          <w:p w14:paraId="55C2D263" w14:textId="77777777" w:rsidR="006407D7" w:rsidRDefault="006407D7" w:rsidP="007C2D85">
            <w:pPr>
              <w:widowControl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用于智慧瓶盖的近场通信芯片通信距离只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5-10cm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，消费者体验感不强。本项目主要研发内容包括：（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）植入瓶盖中的近场通信芯片，体积不能太大，一般长宽不超过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2cm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，用于布置芯片的空间高度一般不超过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0.5cm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）如通信距离能达到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30cm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，甚至更远距离。</w:t>
            </w:r>
          </w:p>
        </w:tc>
      </w:tr>
    </w:tbl>
    <w:p w14:paraId="5E35004F" w14:textId="77777777" w:rsidR="00DA1AC9" w:rsidRPr="006407D7" w:rsidRDefault="00DA1AC9"/>
    <w:sectPr w:rsidR="00DA1AC9" w:rsidRPr="006407D7" w:rsidSect="00640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3CFB" w14:textId="77777777" w:rsidR="004837C2" w:rsidRDefault="004837C2" w:rsidP="006407D7">
      <w:r>
        <w:separator/>
      </w:r>
    </w:p>
  </w:endnote>
  <w:endnote w:type="continuationSeparator" w:id="0">
    <w:p w14:paraId="65C26A11" w14:textId="77777777" w:rsidR="004837C2" w:rsidRDefault="004837C2" w:rsidP="0064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D3FC" w14:textId="77777777" w:rsidR="004837C2" w:rsidRDefault="004837C2" w:rsidP="006407D7">
      <w:r>
        <w:separator/>
      </w:r>
    </w:p>
  </w:footnote>
  <w:footnote w:type="continuationSeparator" w:id="0">
    <w:p w14:paraId="31373970" w14:textId="77777777" w:rsidR="004837C2" w:rsidRDefault="004837C2" w:rsidP="0064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B"/>
    <w:rsid w:val="004837C2"/>
    <w:rsid w:val="0059358B"/>
    <w:rsid w:val="006407D7"/>
    <w:rsid w:val="00D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3C860-B27A-4735-92F6-7F621C1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7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7D7"/>
    <w:rPr>
      <w:sz w:val="18"/>
      <w:szCs w:val="18"/>
    </w:rPr>
  </w:style>
  <w:style w:type="table" w:styleId="a7">
    <w:name w:val="Table Grid"/>
    <w:basedOn w:val="a1"/>
    <w:uiPriority w:val="59"/>
    <w:qFormat/>
    <w:rsid w:val="006407D7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2021-12-09T08:37:00Z</dcterms:created>
  <dcterms:modified xsi:type="dcterms:W3CDTF">2021-12-09T08:38:00Z</dcterms:modified>
</cp:coreProperties>
</file>