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3E17D">
      <w:pPr>
        <w:pStyle w:val="2"/>
        <w:spacing w:before="107" w:line="219" w:lineRule="auto"/>
        <w:jc w:val="both"/>
        <w:rPr>
          <w:rFonts w:hint="eastAsia"/>
          <w:b/>
          <w:bCs/>
          <w:spacing w:val="4"/>
          <w:sz w:val="33"/>
          <w:szCs w:val="33"/>
          <w:lang w:val="en-US" w:eastAsia="zh-CN"/>
        </w:rPr>
      </w:pPr>
      <w:r>
        <w:rPr>
          <w:rFonts w:hint="eastAsia"/>
          <w:b/>
          <w:bCs/>
          <w:spacing w:val="4"/>
          <w:sz w:val="33"/>
          <w:szCs w:val="33"/>
          <w:lang w:eastAsia="zh-CN"/>
        </w:rPr>
        <w:t>附</w:t>
      </w:r>
      <w:r>
        <w:rPr>
          <w:b/>
          <w:bCs/>
          <w:spacing w:val="4"/>
          <w:sz w:val="33"/>
          <w:szCs w:val="33"/>
          <w:lang w:eastAsia="zh-CN"/>
        </w:rPr>
        <w:t>件1</w:t>
      </w:r>
      <w:r>
        <w:rPr>
          <w:rFonts w:hint="eastAsia"/>
          <w:b/>
          <w:bCs/>
          <w:spacing w:val="4"/>
          <w:sz w:val="33"/>
          <w:szCs w:val="33"/>
          <w:lang w:eastAsia="zh-CN"/>
        </w:rPr>
        <w:t>：</w:t>
      </w:r>
      <w:r>
        <w:rPr>
          <w:rFonts w:hint="eastAsia"/>
          <w:b/>
          <w:bCs/>
          <w:spacing w:val="4"/>
          <w:sz w:val="33"/>
          <w:szCs w:val="33"/>
          <w:lang w:val="en-US" w:eastAsia="zh-CN"/>
        </w:rPr>
        <w:t xml:space="preserve"> </w:t>
      </w:r>
    </w:p>
    <w:p w14:paraId="13A740AF">
      <w:pPr>
        <w:pStyle w:val="2"/>
        <w:spacing w:before="107" w:line="219" w:lineRule="auto"/>
        <w:jc w:val="center"/>
        <w:rPr>
          <w:rFonts w:hint="eastAsia" w:ascii="黑体" w:hAnsi="黑体" w:eastAsia="黑体" w:cs="黑体"/>
          <w:b w:val="0"/>
          <w:bCs w:val="0"/>
          <w:spacing w:val="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4"/>
          <w:sz w:val="32"/>
          <w:szCs w:val="32"/>
          <w:lang w:eastAsia="zh-CN"/>
        </w:rPr>
        <w:t>2026年</w:t>
      </w:r>
      <w:r>
        <w:rPr>
          <w:rFonts w:hint="eastAsia" w:ascii="黑体" w:hAnsi="黑体" w:eastAsia="黑体" w:cs="黑体"/>
          <w:b w:val="0"/>
          <w:bCs w:val="0"/>
          <w:spacing w:val="4"/>
          <w:sz w:val="32"/>
          <w:szCs w:val="32"/>
          <w:lang w:val="en-US" w:eastAsia="zh-CN"/>
        </w:rPr>
        <w:t>岳西县汽配</w:t>
      </w:r>
      <w:r>
        <w:rPr>
          <w:rFonts w:hint="eastAsia" w:ascii="黑体" w:hAnsi="黑体" w:eastAsia="黑体" w:cs="黑体"/>
          <w:b w:val="0"/>
          <w:bCs w:val="0"/>
          <w:spacing w:val="4"/>
          <w:sz w:val="32"/>
          <w:szCs w:val="32"/>
          <w:lang w:eastAsia="zh-CN"/>
        </w:rPr>
        <w:t>产业</w:t>
      </w:r>
      <w:r>
        <w:rPr>
          <w:rFonts w:hint="eastAsia" w:ascii="黑体" w:hAnsi="黑体" w:eastAsia="黑体" w:cs="黑体"/>
          <w:b w:val="0"/>
          <w:bCs w:val="0"/>
          <w:spacing w:val="4"/>
          <w:sz w:val="32"/>
          <w:szCs w:val="32"/>
          <w:lang w:val="en-US" w:eastAsia="zh-CN"/>
        </w:rPr>
        <w:t>领域</w:t>
      </w:r>
      <w:r>
        <w:rPr>
          <w:rFonts w:hint="eastAsia" w:ascii="黑体" w:hAnsi="黑体" w:eastAsia="黑体" w:cs="黑体"/>
          <w:b w:val="0"/>
          <w:bCs w:val="0"/>
          <w:spacing w:val="4"/>
          <w:sz w:val="32"/>
          <w:szCs w:val="32"/>
          <w:lang w:eastAsia="zh-CN"/>
        </w:rPr>
        <w:t>(揭榜挂帅)项目</w:t>
      </w:r>
      <w:r>
        <w:rPr>
          <w:rFonts w:hint="eastAsia" w:ascii="黑体" w:hAnsi="黑体" w:eastAsia="黑体" w:cs="黑体"/>
          <w:b w:val="0"/>
          <w:bCs w:val="0"/>
          <w:spacing w:val="3"/>
          <w:sz w:val="32"/>
          <w:szCs w:val="32"/>
          <w:lang w:eastAsia="zh-CN"/>
        </w:rPr>
        <w:t>技术需求</w:t>
      </w:r>
    </w:p>
    <w:tbl>
      <w:tblPr>
        <w:tblStyle w:val="11"/>
        <w:tblW w:w="15450" w:type="dxa"/>
        <w:tblInd w:w="-4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0"/>
        <w:gridCol w:w="1760"/>
        <w:gridCol w:w="11670"/>
      </w:tblGrid>
      <w:tr w14:paraId="70DDD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020" w:type="dxa"/>
          </w:tcPr>
          <w:p w14:paraId="126928DB">
            <w:pPr>
              <w:pStyle w:val="10"/>
              <w:spacing w:before="135" w:line="219" w:lineRule="auto"/>
              <w:ind w:left="275"/>
              <w:jc w:val="center"/>
              <w:rPr>
                <w:b/>
              </w:rPr>
            </w:pPr>
            <w:r>
              <w:rPr>
                <w:b/>
                <w:spacing w:val="3"/>
              </w:rPr>
              <w:t>需求编号</w:t>
            </w:r>
          </w:p>
        </w:tc>
        <w:tc>
          <w:tcPr>
            <w:tcW w:w="1760" w:type="dxa"/>
          </w:tcPr>
          <w:p w14:paraId="675124A2">
            <w:pPr>
              <w:pStyle w:val="10"/>
              <w:spacing w:before="135" w:line="220" w:lineRule="auto"/>
              <w:jc w:val="center"/>
              <w:rPr>
                <w:b/>
              </w:rPr>
            </w:pPr>
            <w:r>
              <w:rPr>
                <w:b/>
                <w:spacing w:val="3"/>
              </w:rPr>
              <w:t>需求名称</w:t>
            </w:r>
          </w:p>
        </w:tc>
        <w:tc>
          <w:tcPr>
            <w:tcW w:w="11670" w:type="dxa"/>
          </w:tcPr>
          <w:p w14:paraId="2EF75B35">
            <w:pPr>
              <w:pStyle w:val="10"/>
              <w:spacing w:before="135" w:line="219" w:lineRule="auto"/>
              <w:ind w:left="3783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spacing w:val="3"/>
                <w:lang w:val="en-US" w:eastAsia="zh-CN"/>
              </w:rPr>
              <w:t>研究</w:t>
            </w:r>
            <w:r>
              <w:rPr>
                <w:b/>
                <w:spacing w:val="3"/>
              </w:rPr>
              <w:t>内容</w:t>
            </w:r>
            <w:r>
              <w:rPr>
                <w:rFonts w:hint="eastAsia"/>
                <w:b/>
                <w:spacing w:val="3"/>
                <w:lang w:val="en-US" w:eastAsia="zh-CN"/>
              </w:rPr>
              <w:t>及指标</w:t>
            </w:r>
          </w:p>
        </w:tc>
      </w:tr>
      <w:tr w14:paraId="7C0CA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</w:trPr>
        <w:tc>
          <w:tcPr>
            <w:tcW w:w="2020" w:type="dxa"/>
            <w:vAlign w:val="center"/>
          </w:tcPr>
          <w:p w14:paraId="3B479348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pacing w:val="-1"/>
                <w:lang w:val="en-US" w:eastAsia="zh-CN"/>
              </w:rPr>
              <w:t>YX</w:t>
            </w:r>
            <w:r>
              <w:rPr>
                <w:rFonts w:ascii="Times New Roman" w:hAnsi="Times New Roman" w:cs="Times New Roman"/>
                <w:spacing w:val="-1"/>
              </w:rPr>
              <w:t>-202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6</w:t>
            </w:r>
            <w:r>
              <w:rPr>
                <w:rFonts w:ascii="Times New Roman" w:hAnsi="Times New Roman" w:cs="Times New Roman"/>
                <w:spacing w:val="-1"/>
              </w:rPr>
              <w:t>-01</w:t>
            </w:r>
          </w:p>
        </w:tc>
        <w:tc>
          <w:tcPr>
            <w:tcW w:w="1760" w:type="dxa"/>
            <w:vAlign w:val="center"/>
          </w:tcPr>
          <w:p w14:paraId="018A0EC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两轮车弯道主动安全控制系统（含HCU研发）及T-BOX嵌入式平台技术开发</w:t>
            </w:r>
          </w:p>
          <w:p w14:paraId="6D1E7DE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</w:tc>
        <w:tc>
          <w:tcPr>
            <w:tcW w:w="11670" w:type="dxa"/>
          </w:tcPr>
          <w:p w14:paraId="455C99E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line="360" w:lineRule="exact"/>
              <w:ind w:left="105" w:leftChars="50" w:right="105" w:rightChars="50" w:firstLine="0"/>
              <w:textAlignment w:val="baseline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一、技术需求</w:t>
            </w:r>
          </w:p>
          <w:p w14:paraId="4E99CD6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1.弯道主动安全控制算法研发：研发适用于两轮车的弯道ABS、弯道TCS、弯道DTC等核心控制算法，解决弯道制动时车辆稳定性差、牵引力控制精度低、动态转矩协调不连续等技术难题。</w:t>
            </w:r>
          </w:p>
          <w:p w14:paraId="0FBD75E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2.HCU（液压控制单元）研发与集成：完成HCU机械液压结构设计、电磁阀匹配及液压模块集成，实现与弯道控制算法的高动态响应匹配，满足弯道工况下快速建压、泄压及压力闭环控制要求。</w:t>
            </w:r>
          </w:p>
          <w:p w14:paraId="225D9525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3.T-BOX嵌入式平台技术开发：解决T-BOX与车辆CAN总线深度集成时的协议兼容性问题，提升数据传输实时性、抗电磁干扰能力，降低整机功耗，增强边缘计算能力。</w:t>
            </w:r>
          </w:p>
          <w:p w14:paraId="43BC57A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4.国产芯片与传感器应用研究：开展基于国产MCU、IMU等芯片及传感器的主动安全系统适配研究，形成可量产的国产化硬件解决方案。</w:t>
            </w:r>
          </w:p>
          <w:p w14:paraId="71F68D1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二、技术指标</w:t>
            </w:r>
          </w:p>
          <w:p w14:paraId="3DF4A44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1.</w:t>
            </w:r>
            <w:r>
              <w:rPr>
                <w:rFonts w:hint="eastAsia"/>
                <w:b w:val="0"/>
                <w:bCs w:val="0"/>
                <w:lang w:eastAsia="zh-CN"/>
              </w:rPr>
              <w:t>弯道ABS控制下，制动距离不差于直道A</w:t>
            </w:r>
            <w:bookmarkStart w:id="1" w:name="_GoBack"/>
            <w:bookmarkEnd w:id="1"/>
            <w:r>
              <w:rPr>
                <w:rFonts w:hint="eastAsia"/>
                <w:b w:val="0"/>
                <w:bCs w:val="0"/>
                <w:lang w:eastAsia="zh-CN"/>
              </w:rPr>
              <w:t>BS，车辆无侧滑或甩尾；</w:t>
            </w:r>
          </w:p>
          <w:p w14:paraId="4652AA8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2.</w:t>
            </w:r>
            <w:r>
              <w:rPr>
                <w:rFonts w:hint="eastAsia"/>
                <w:b w:val="0"/>
                <w:bCs w:val="0"/>
                <w:lang w:eastAsia="zh-CN"/>
              </w:rPr>
              <w:t>弯道TCS响应时间 ≤ 50ms；</w:t>
            </w:r>
          </w:p>
          <w:p w14:paraId="1AF0C8D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3.</w:t>
            </w:r>
            <w:r>
              <w:rPr>
                <w:rFonts w:hint="eastAsia"/>
                <w:b w:val="0"/>
                <w:bCs w:val="0"/>
                <w:lang w:eastAsia="zh-CN"/>
              </w:rPr>
              <w:t>HCU建压时间（全行程）≤ 150ms，压力控制精度 ±0.3MPa；</w:t>
            </w:r>
          </w:p>
          <w:p w14:paraId="5DE7E88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4.</w:t>
            </w:r>
            <w:r>
              <w:rPr>
                <w:rFonts w:hint="eastAsia"/>
                <w:b w:val="0"/>
                <w:bCs w:val="0"/>
                <w:lang w:eastAsia="zh-CN"/>
              </w:rPr>
              <w:t>CAN总线兼容性符合ISO 11898标准；</w:t>
            </w:r>
          </w:p>
          <w:p w14:paraId="15486A6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5.</w:t>
            </w:r>
            <w:r>
              <w:rPr>
                <w:rFonts w:hint="eastAsia"/>
                <w:b w:val="0"/>
                <w:bCs w:val="0"/>
                <w:lang w:eastAsia="zh-CN"/>
              </w:rPr>
              <w:t>项目周期12个月内完成算法开发、HCU试制、T-BOX平台搭建及国产芯片方案验证。</w:t>
            </w:r>
          </w:p>
          <w:p w14:paraId="622B9CDF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default"/>
                <w:b w:val="0"/>
                <w:bCs w:val="0"/>
                <w:lang w:val="en-US" w:eastAsia="zh-CN"/>
              </w:rPr>
            </w:pPr>
          </w:p>
        </w:tc>
      </w:tr>
      <w:tr w14:paraId="5738F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3" w:hRule="atLeast"/>
        </w:trPr>
        <w:tc>
          <w:tcPr>
            <w:tcW w:w="2020" w:type="dxa"/>
            <w:shd w:val="clear" w:color="auto" w:fill="auto"/>
            <w:vAlign w:val="center"/>
          </w:tcPr>
          <w:p w14:paraId="4771995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Times New Roman" w:hAnsi="Times New Roman" w:cs="Times New Roman"/>
                <w:spacing w:val="-1"/>
                <w:lang w:eastAsia="zh-CN"/>
              </w:rPr>
            </w:pPr>
            <w:bookmarkStart w:id="0" w:name="_Hlk233183339"/>
          </w:p>
          <w:p w14:paraId="7060FA2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cs="Times New Roman"/>
                <w:spacing w:val="-1"/>
                <w:lang w:eastAsia="zh-CN"/>
              </w:rPr>
            </w:pPr>
          </w:p>
          <w:p w14:paraId="71D700D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1"/>
                <w:lang w:eastAsia="zh-CN"/>
              </w:rPr>
              <w:t>YX</w:t>
            </w:r>
            <w:r>
              <w:rPr>
                <w:rFonts w:ascii="Times New Roman" w:hAnsi="Times New Roman" w:cs="Times New Roman"/>
                <w:spacing w:val="-1"/>
              </w:rPr>
              <w:t>-202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6</w:t>
            </w:r>
            <w:r>
              <w:rPr>
                <w:rFonts w:ascii="Times New Roman" w:hAnsi="Times New Roman" w:cs="Times New Roman"/>
                <w:spacing w:val="-1"/>
              </w:rPr>
              <w:t>-0</w:t>
            </w:r>
            <w:r>
              <w:rPr>
                <w:rFonts w:hint="eastAsia" w:ascii="Times New Roman" w:hAnsi="Times New Roman" w:cs="Times New Roman"/>
                <w:spacing w:val="-1"/>
                <w:lang w:val="en-US" w:eastAsia="zh-CN"/>
              </w:rPr>
              <w:t>2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9E05A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57E578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543D5C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eastAsia="Arial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流体灌胶成型橡胶-金属连接界面强化技术研发</w:t>
            </w:r>
          </w:p>
        </w:tc>
        <w:tc>
          <w:tcPr>
            <w:tcW w:w="11670" w:type="dxa"/>
            <w:shd w:val="clear" w:color="auto" w:fill="auto"/>
            <w:vAlign w:val="top"/>
          </w:tcPr>
          <w:p w14:paraId="2DE39E5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line="360" w:lineRule="exact"/>
              <w:ind w:left="105" w:leftChars="50" w:right="105" w:rightChars="50" w:firstLine="0"/>
              <w:textAlignment w:val="baseline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一、技术需求</w:t>
            </w:r>
          </w:p>
          <w:p w14:paraId="7EBA98D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针对高精橡胶夹具流体灌胶成型中橡胶-金属界面结合强度低、易脱粘失效的技术瓶颈，研发橡胶流体配方优化、金属基材表面处理及底涂强化、真空灌胶成型缺陷控制、固化工艺参数协同匹配等关键技术，解决界面浸润性差、气泡与缺胶等成型缺陷、固化内应力诱发开裂、多场耦合下界面耐久性不足、批量生产一致性差等问题，实现橡胶与金属基体的高质量、高可靠性界面连接，形成可产业化的高精橡胶夹具成套工艺体系。</w:t>
            </w:r>
          </w:p>
          <w:p w14:paraId="2E4DDB3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二、技术指标</w:t>
            </w:r>
          </w:p>
          <w:p w14:paraId="2A6747B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1.流体粘度：1000～3000 mPa·s（可调）；</w:t>
            </w:r>
          </w:p>
          <w:p w14:paraId="1E1AEC4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2.固化后硬度：邵氏A型 60～80（可调）；</w:t>
            </w:r>
          </w:p>
          <w:p w14:paraId="696CAE2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3.胶层均匀性：厚度误差≤0.02mm，无气泡、无缺胶；</w:t>
            </w:r>
          </w:p>
          <w:p w14:paraId="40B10E7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4.橡胶与金属基体剥离强度≥15 N/mm；</w:t>
            </w:r>
          </w:p>
          <w:p w14:paraId="5FE2C69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5.界面缺陷率≤0.5%；</w:t>
            </w:r>
          </w:p>
          <w:p w14:paraId="6EDC74E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6.夹具夹持精度≤0.005mm；</w:t>
            </w:r>
          </w:p>
          <w:p w14:paraId="4FCB9ED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7.寿命≥1万次；</w:t>
            </w:r>
          </w:p>
          <w:p w14:paraId="33CD2B0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360" w:lineRule="exact"/>
              <w:ind w:left="105" w:leftChars="50" w:right="105" w:rightChars="50" w:firstLine="0" w:firstLine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8.自动化灌胶效率提升50%。</w:t>
            </w:r>
          </w:p>
        </w:tc>
      </w:tr>
      <w:tr w14:paraId="6E417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2020" w:type="dxa"/>
            <w:shd w:val="clear" w:color="auto" w:fill="auto"/>
            <w:vAlign w:val="center"/>
          </w:tcPr>
          <w:p w14:paraId="22A39EF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cs="Times New Roman"/>
                <w:spacing w:val="-1"/>
                <w:lang w:eastAsia="zh-CN"/>
              </w:rPr>
            </w:pPr>
          </w:p>
          <w:p w14:paraId="2395F84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cs="Times New Roman"/>
                <w:spacing w:val="-1"/>
                <w:lang w:eastAsia="zh-CN"/>
              </w:rPr>
            </w:pPr>
          </w:p>
          <w:p w14:paraId="78D2ECA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cs="Times New Roman"/>
                <w:spacing w:val="-1"/>
                <w:lang w:eastAsia="zh-CN"/>
              </w:rPr>
            </w:pPr>
          </w:p>
          <w:p w14:paraId="2BF6A41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cs="Times New Roman"/>
                <w:spacing w:val="-1"/>
                <w:lang w:eastAsia="zh-CN"/>
              </w:rPr>
            </w:pPr>
          </w:p>
          <w:p w14:paraId="4610E7C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cs="Times New Roman"/>
                <w:spacing w:val="-1"/>
                <w:lang w:eastAsia="zh-CN"/>
              </w:rPr>
            </w:pPr>
          </w:p>
          <w:p w14:paraId="6E5A9129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cs="Times New Roman"/>
                <w:spacing w:val="-1"/>
                <w:lang w:eastAsia="zh-CN"/>
              </w:rPr>
            </w:pPr>
          </w:p>
          <w:p w14:paraId="28B3F7D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cs="Times New Roman"/>
                <w:spacing w:val="-1"/>
                <w:lang w:eastAsia="zh-CN"/>
              </w:rPr>
            </w:pPr>
          </w:p>
          <w:p w14:paraId="36A89CA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cs="Times New Roman"/>
                <w:spacing w:val="-1"/>
                <w:lang w:eastAsia="zh-CN"/>
              </w:rPr>
            </w:pPr>
          </w:p>
          <w:p w14:paraId="7C7C0FE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cs="Times New Roman"/>
                <w:spacing w:val="-1"/>
                <w:lang w:eastAsia="zh-CN"/>
              </w:rPr>
            </w:pPr>
          </w:p>
          <w:p w14:paraId="7EC2D0B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cs="Times New Roman"/>
                <w:spacing w:val="-1"/>
                <w:lang w:eastAsia="zh-CN"/>
              </w:rPr>
            </w:pPr>
          </w:p>
          <w:p w14:paraId="37A5E2E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1"/>
                <w:lang w:eastAsia="zh-CN"/>
              </w:rPr>
              <w:t>YX</w:t>
            </w:r>
            <w:r>
              <w:rPr>
                <w:rFonts w:ascii="Times New Roman" w:hAnsi="Times New Roman" w:cs="Times New Roman"/>
                <w:spacing w:val="-1"/>
              </w:rPr>
              <w:t>-202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6</w:t>
            </w:r>
            <w:r>
              <w:rPr>
                <w:rFonts w:ascii="Times New Roman" w:hAnsi="Times New Roman" w:cs="Times New Roman"/>
                <w:spacing w:val="-1"/>
              </w:rPr>
              <w:t>-0</w:t>
            </w:r>
            <w:r>
              <w:rPr>
                <w:rFonts w:hint="eastAsia" w:ascii="Times New Roman" w:hAnsi="Times New Roman" w:cs="Times New Roman"/>
                <w:spacing w:val="-1"/>
                <w:lang w:val="en-US" w:eastAsia="zh-CN"/>
              </w:rPr>
              <w:t>3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57273DF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 xml:space="preserve"> </w:t>
            </w:r>
          </w:p>
          <w:p w14:paraId="5A6B2AD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79F1A735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5050A87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7F554AB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1C657E3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13512F2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5F6A749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69CF6D2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4E80D03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12E7198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底盘冲压精度提升与回弹控制工艺优化</w:t>
            </w:r>
          </w:p>
        </w:tc>
        <w:tc>
          <w:tcPr>
            <w:tcW w:w="11670" w:type="dxa"/>
            <w:shd w:val="clear" w:color="auto" w:fill="auto"/>
            <w:vAlign w:val="top"/>
          </w:tcPr>
          <w:p w14:paraId="456A3F9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一、技术需求</w:t>
            </w:r>
          </w:p>
          <w:p w14:paraId="1A1C7FB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1.开展汽车底盘冲压件高精度尺寸稳定性工艺优化攻关，系统研究冲压速度、模具间隙、热处理冷却曲线等关键参数对回弹与形变的影响机制，解决批量加工精度偏差大、合格率偏低的问题。 </w:t>
            </w:r>
          </w:p>
          <w:p w14:paraId="2EA3FB68">
            <w:pPr>
              <w:pStyle w:val="10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2.针对新能源汽车铝合金结构件，研发精密压铸轻量化成型工艺，优化浇注系统与压射工艺参数，提升铸件致密性，有效减少气孔、缩松及微裂纹缺陷，保障产品高强韧与安全服役性能。</w:t>
            </w:r>
          </w:p>
          <w:p w14:paraId="1E4E3DB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二、技术指标</w:t>
            </w:r>
          </w:p>
          <w:p w14:paraId="55E427C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  <w:lang w:eastAsia="zh-CN"/>
              </w:rPr>
              <w:t xml:space="preserve">冲压件尺寸合格率≥95%（较攻关前提升≥10个百分点）；关键安装面平面度公差≤±0.15mm，回弹量控制在0.3mm以内；  </w:t>
            </w:r>
          </w:p>
          <w:p w14:paraId="3675489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  <w:lang w:eastAsia="zh-CN"/>
              </w:rPr>
              <w:t xml:space="preserve">压铸件内部气孔率≤1.5%，缩松缺陷评级≤2级（按ASTM标准），微裂纹长度≤0.2mm； </w:t>
            </w:r>
          </w:p>
          <w:p w14:paraId="40D5D4A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  <w:lang w:eastAsia="zh-CN"/>
              </w:rPr>
              <w:t xml:space="preserve">铝合金压铸件抗拉强度≥300MPa，屈服强度≥240MPa，延伸率≥5%，满足新能源汽车结构件安全性能要求；  </w:t>
            </w:r>
          </w:p>
          <w:p w14:paraId="3D595F9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eastAsia"/>
                <w:lang w:eastAsia="zh-CN"/>
              </w:rPr>
              <w:t xml:space="preserve">压铸件批次间质量一致性（硬度、密度波动）控制在±3%以内；  </w:t>
            </w:r>
          </w:p>
          <w:p w14:paraId="13E8850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360" w:lineRule="exact"/>
              <w:ind w:left="105" w:leftChars="50" w:right="105" w:rightChars="5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5.</w:t>
            </w:r>
            <w:r>
              <w:rPr>
                <w:rFonts w:hint="eastAsia"/>
                <w:lang w:eastAsia="zh-CN"/>
              </w:rPr>
              <w:t>冲压与压铸综合工艺节拍不降低，单件成本增加≤5%。</w:t>
            </w:r>
          </w:p>
        </w:tc>
      </w:tr>
      <w:bookmarkEnd w:id="0"/>
      <w:tr w14:paraId="4A9B0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2020" w:type="dxa"/>
            <w:vAlign w:val="center"/>
          </w:tcPr>
          <w:p w14:paraId="1A2FDA75">
            <w:pPr>
              <w:pStyle w:val="10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7DB0089D">
            <w:pPr>
              <w:pStyle w:val="10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0401D349">
            <w:pPr>
              <w:pStyle w:val="10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00E1652E">
            <w:pPr>
              <w:pStyle w:val="10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5B27C755">
            <w:pPr>
              <w:pStyle w:val="10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147A138D">
            <w:pPr>
              <w:pStyle w:val="10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YX-2026-0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760" w:type="dxa"/>
            <w:vAlign w:val="center"/>
          </w:tcPr>
          <w:p w14:paraId="34865FA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65AE9AD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53163D8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4787DA4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380155C9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5BB2C03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注塑成型工艺优化及高分子功能化改性关键技术引进</w:t>
            </w:r>
          </w:p>
        </w:tc>
        <w:tc>
          <w:tcPr>
            <w:tcW w:w="11670" w:type="dxa"/>
          </w:tcPr>
          <w:p w14:paraId="482C58D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line="360" w:lineRule="exact"/>
              <w:ind w:left="105" w:leftChars="50" w:right="105" w:rightChars="50" w:firstLine="0"/>
              <w:textAlignment w:val="baseline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一、技术需求</w:t>
            </w:r>
          </w:p>
          <w:p w14:paraId="7E7E714F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1.对接高校及科研院所，引进材料科学与工程、模具设计及制造领域前沿技术资源，重点开展注塑成型工艺优化（温度、压力、冷却时间等参数精细化调控），解决制品翘曲、缩痕及尺寸超差问题。  </w:t>
            </w:r>
          </w:p>
          <w:p w14:paraId="630F6565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2.针对高分子材料共混改性及功能化改性（增强、增韧、阻燃、抗静电等），联合攻关配方设计与加工适配性，提升材料综合性能与功能附加值。  </w:t>
            </w:r>
          </w:p>
          <w:p w14:paraId="2CEA93A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3.通过共建实践基地、联合项目研发等方式，引进或定向培养复合型技术人才，具备注塑工艺调试、材料配方开发及成果转化能力，完善企业技术创新团队。</w:t>
            </w:r>
          </w:p>
          <w:p w14:paraId="76C4D21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二、技术指标</w:t>
            </w:r>
          </w:p>
          <w:p w14:paraId="1762D32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  <w:lang w:eastAsia="zh-CN"/>
              </w:rPr>
              <w:t>注塑件尺寸精度（关键装配位）公差控制在±0.05 mm以内，翘曲变形量≤0.5mm/m，产品一次合格率≥96%；</w:t>
            </w:r>
          </w:p>
          <w:p w14:paraId="1BE9AB1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  <w:lang w:eastAsia="zh-CN"/>
              </w:rPr>
              <w:t xml:space="preserve">改性后材料拉伸强度提升≥15%，冲击强度（23℃）提升≥20%，热变形温度（1.82MPa）≥120℃（以典型车用PP/ABS体系为基准）；  </w:t>
            </w:r>
          </w:p>
          <w:p w14:paraId="3ECD691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  <w:lang w:eastAsia="zh-CN"/>
              </w:rPr>
              <w:t>功能化改性达到阻燃等级UL94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V-0或抗静电表面电阻率≤10⁶Ω（根据具体需求可调）； </w:t>
            </w:r>
          </w:p>
          <w:p w14:paraId="74EF5A6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360" w:lineRule="exact"/>
              <w:ind w:left="105" w:leftChars="50" w:right="105" w:rightChars="50" w:firstLine="0"/>
              <w:textAlignment w:val="baseline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eastAsia"/>
                <w:lang w:eastAsia="zh-CN"/>
              </w:rPr>
              <w:t>两年内联合培养注塑工艺与材料开发方向技术骨干5～8名，落地校企合作项目2～3项，转化科研成果（新工艺/新配方）不少于3项。</w:t>
            </w:r>
          </w:p>
        </w:tc>
      </w:tr>
      <w:tr w14:paraId="75684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2020" w:type="dxa"/>
            <w:shd w:val="clear" w:color="auto" w:fill="auto"/>
            <w:vAlign w:val="center"/>
          </w:tcPr>
          <w:p w14:paraId="1E8BA43F">
            <w:pPr>
              <w:pStyle w:val="10"/>
              <w:jc w:val="both"/>
              <w:rPr>
                <w:rFonts w:hint="eastAsia" w:ascii="Times New Roman" w:hAnsi="Times New Roman" w:cs="Times New Roman"/>
                <w:spacing w:val="-1"/>
                <w:lang w:eastAsia="zh-CN"/>
              </w:rPr>
            </w:pPr>
          </w:p>
          <w:p w14:paraId="50BDB1FE">
            <w:pPr>
              <w:pStyle w:val="10"/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1"/>
                <w:lang w:eastAsia="zh-CN"/>
              </w:rPr>
              <w:t>YX</w:t>
            </w:r>
            <w:r>
              <w:rPr>
                <w:rFonts w:ascii="Times New Roman" w:hAnsi="Times New Roman" w:cs="Times New Roman"/>
                <w:spacing w:val="-1"/>
              </w:rPr>
              <w:t>-202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6</w:t>
            </w:r>
            <w:r>
              <w:rPr>
                <w:rFonts w:ascii="Times New Roman" w:hAnsi="Times New Roman" w:cs="Times New Roman"/>
                <w:spacing w:val="-1"/>
              </w:rPr>
              <w:t>-0</w:t>
            </w:r>
            <w:r>
              <w:rPr>
                <w:rFonts w:hint="eastAsia" w:ascii="Times New Roman" w:hAnsi="Times New Roman" w:cs="Times New Roman"/>
                <w:spacing w:val="-1"/>
                <w:lang w:val="en-US" w:eastAsia="zh-CN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3BA06E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105" w:rightChars="5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DDE174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05" w:leftChars="50" w:right="105" w:rightChars="5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新能源汽车动力电池用高导热聚氨酯发泡材料的研发及产业化</w:t>
            </w:r>
          </w:p>
        </w:tc>
        <w:tc>
          <w:tcPr>
            <w:tcW w:w="11670" w:type="dxa"/>
            <w:shd w:val="clear" w:color="auto" w:fill="auto"/>
            <w:vAlign w:val="center"/>
          </w:tcPr>
          <w:p w14:paraId="5086172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一、技术需求</w:t>
            </w:r>
          </w:p>
          <w:p w14:paraId="2E7EEFE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1.研发高导热聚氨酯发泡材料配方体系，在保持轻质多孔结构的前提下构建连续高效导热网络，解决导热与轻质缓冲之间的性能矛盾。</w:t>
            </w:r>
          </w:p>
          <w:p w14:paraId="160E47C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2.开发石墨烯等导热填料的表面改性及纳米级均匀分散工艺，攻克填料易团聚、界面结合力弱的技术难题，提升实际导热效率。</w:t>
            </w:r>
          </w:p>
          <w:p w14:paraId="46197A45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3.优化分子结构与泡孔形态，提升材料在电芯反复膨胀收缩工况下的抗疲劳性能，确保长期使用中导热性能不衰减。</w:t>
            </w:r>
          </w:p>
          <w:p w14:paraId="5230C3D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4.开发与导热填料相容性好、对发泡工艺影响小的阻燃体系，实现高导热与UL94 V-0阻燃等级的协同统一。</w:t>
            </w:r>
          </w:p>
          <w:p w14:paraId="6B4D7225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5.优化原料配比、混合工艺、发泡参数及固化条件，形成稳定可靠的中试生产工艺，满足产业化应用需求。</w:t>
            </w:r>
          </w:p>
          <w:p w14:paraId="590A082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二、技术指标</w:t>
            </w:r>
          </w:p>
          <w:p w14:paraId="49A575B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  <w:lang w:eastAsia="zh-CN"/>
              </w:rPr>
              <w:t>导热系数：0.3～0.4 W/(m·K)；</w:t>
            </w:r>
          </w:p>
          <w:p w14:paraId="7658907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  <w:lang w:eastAsia="zh-CN"/>
              </w:rPr>
              <w:t>压缩强度（相对形变10%）≥ 150 kPa；</w:t>
            </w:r>
          </w:p>
          <w:p w14:paraId="25E32A4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 w:leftChars="50" w:right="105" w:rightChars="50" w:firstLine="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  <w:lang w:eastAsia="zh-CN"/>
              </w:rPr>
              <w:t>阻燃等级：UL94 V-0级；</w:t>
            </w:r>
          </w:p>
          <w:p w14:paraId="4D45A88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360" w:lineRule="exact"/>
              <w:ind w:left="105" w:leftChars="50" w:right="105" w:rightChars="5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eastAsia"/>
                <w:lang w:eastAsia="zh-CN"/>
              </w:rPr>
              <w:t>项目周期12个月，交付完整配方体系、中试生产工艺文件、发明专利受理1～2项及企业标准1项。</w:t>
            </w:r>
          </w:p>
        </w:tc>
      </w:tr>
    </w:tbl>
    <w:p w14:paraId="1D7EDEA6">
      <w:pPr>
        <w:rPr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6F5B"/>
    <w:rsid w:val="00123C0E"/>
    <w:rsid w:val="00127D84"/>
    <w:rsid w:val="00131A1F"/>
    <w:rsid w:val="00150F50"/>
    <w:rsid w:val="00160EE5"/>
    <w:rsid w:val="00172A27"/>
    <w:rsid w:val="00173C18"/>
    <w:rsid w:val="003972F7"/>
    <w:rsid w:val="003E3DBB"/>
    <w:rsid w:val="0041313E"/>
    <w:rsid w:val="004322A3"/>
    <w:rsid w:val="004416C6"/>
    <w:rsid w:val="004F6FC7"/>
    <w:rsid w:val="00547054"/>
    <w:rsid w:val="006269B4"/>
    <w:rsid w:val="0063534A"/>
    <w:rsid w:val="006562EB"/>
    <w:rsid w:val="006E142B"/>
    <w:rsid w:val="00702CF5"/>
    <w:rsid w:val="007B4AEE"/>
    <w:rsid w:val="00831D92"/>
    <w:rsid w:val="00911AA8"/>
    <w:rsid w:val="009978ED"/>
    <w:rsid w:val="009A658E"/>
    <w:rsid w:val="00A62682"/>
    <w:rsid w:val="00AD42CD"/>
    <w:rsid w:val="00AE4DD8"/>
    <w:rsid w:val="00B63114"/>
    <w:rsid w:val="00BA7E24"/>
    <w:rsid w:val="00C11FE9"/>
    <w:rsid w:val="00C13BEC"/>
    <w:rsid w:val="00C264D6"/>
    <w:rsid w:val="00C31B96"/>
    <w:rsid w:val="00C41631"/>
    <w:rsid w:val="00CD71D9"/>
    <w:rsid w:val="00E02CFA"/>
    <w:rsid w:val="00E518A2"/>
    <w:rsid w:val="00EB270F"/>
    <w:rsid w:val="00EC57FE"/>
    <w:rsid w:val="00EF0665"/>
    <w:rsid w:val="00F770CC"/>
    <w:rsid w:val="00FD56F3"/>
    <w:rsid w:val="00FE2692"/>
    <w:rsid w:val="024E4B4B"/>
    <w:rsid w:val="03822CFE"/>
    <w:rsid w:val="043833BC"/>
    <w:rsid w:val="0A871249"/>
    <w:rsid w:val="103307FE"/>
    <w:rsid w:val="13F217DA"/>
    <w:rsid w:val="15510782"/>
    <w:rsid w:val="18F02060"/>
    <w:rsid w:val="1ADD2890"/>
    <w:rsid w:val="1B652328"/>
    <w:rsid w:val="1E0A4D56"/>
    <w:rsid w:val="23B87C1E"/>
    <w:rsid w:val="31EB1741"/>
    <w:rsid w:val="35170C48"/>
    <w:rsid w:val="3F40532C"/>
    <w:rsid w:val="44FD1CD0"/>
    <w:rsid w:val="4672676B"/>
    <w:rsid w:val="4A43169E"/>
    <w:rsid w:val="53B92D38"/>
    <w:rsid w:val="563C63A5"/>
    <w:rsid w:val="58CF5213"/>
    <w:rsid w:val="5B280C0A"/>
    <w:rsid w:val="65ED53DA"/>
    <w:rsid w:val="68AA0EB0"/>
    <w:rsid w:val="708D7424"/>
    <w:rsid w:val="7389561D"/>
    <w:rsid w:val="75846F2D"/>
    <w:rsid w:val="7841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paragraph" w:styleId="6">
    <w:name w:val="Title"/>
    <w:basedOn w:val="5"/>
    <w:next w:val="1"/>
    <w:qFormat/>
    <w:uiPriority w:val="0"/>
    <w:pPr>
      <w:spacing w:before="240" w:after="60"/>
      <w:jc w:val="center"/>
      <w:outlineLvl w:val="0"/>
    </w:pPr>
    <w:rPr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字符"/>
    <w:basedOn w:val="9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3">
    <w:name w:val="页脚 字符"/>
    <w:basedOn w:val="9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2028</Words>
  <Characters>2313</Characters>
  <Lines>27</Lines>
  <Paragraphs>7</Paragraphs>
  <TotalTime>16</TotalTime>
  <ScaleCrop>false</ScaleCrop>
  <LinksUpToDate>false</LinksUpToDate>
  <CharactersWithSpaces>2344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2026-06-11T00:56:00Z</dcterms:created>
  <dc:creator>軍</dc:creator>
  <cp:lastModifiedBy>科学戒猫委员会 </cp:lastModifiedBy>
  <dcterms:modified xsi:type="dcterms:W3CDTF">2026-08-06T03:25:48Z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D23E318298894386B6861D716472F886_13</vt:lpwstr>
  </property>
  <property fmtid="{D5CDD505-2E9C-101B-9397-08002B2CF9AE}" pid="4" name="KSOTemplateDocerSaveRecord">
    <vt:lpwstr>eyJoZGlkIjoiMjVhNGY0OWM1YjAxZGVhYjZlZDg1NDkwNTFhNjBkNzIiLCJ1c2VySWQiOiI1OTA5OTg5MzIifQ==</vt:lpwstr>
  </property>
</Properties>
</file>