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2019年全军共用信息系统</w:t>
      </w:r>
      <w:r>
        <w:rPr>
          <w:rFonts w:hint="default" w:ascii="方正小标宋简体" w:hAnsi="方正小标宋简体" w:eastAsia="方正小标宋简体" w:cs="方正小标宋简体"/>
          <w:sz w:val="36"/>
          <w:szCs w:val="36"/>
        </w:rPr>
        <w:t>第二批</w:t>
      </w:r>
      <w:r>
        <w:rPr>
          <w:rFonts w:hint="eastAsia" w:ascii="方正小标宋简体" w:hAnsi="方正小标宋简体" w:eastAsia="方正小标宋简体" w:cs="方正小标宋简体"/>
          <w:sz w:val="36"/>
          <w:szCs w:val="36"/>
        </w:rPr>
        <w:t>预研（系统类项目）网上发布指南清单</w:t>
      </w:r>
      <w:bookmarkStart w:id="0" w:name="_GoBack"/>
      <w:r>
        <w:rPr>
          <w:rFonts w:hint="default" w:ascii="方正小标宋简体" w:hAnsi="方正小标宋简体" w:eastAsia="方正小标宋简体" w:cs="方正小标宋简体"/>
          <w:sz w:val="36"/>
          <w:szCs w:val="36"/>
        </w:rPr>
        <w:t>（公开）</w:t>
      </w:r>
      <w:bookmarkEnd w:id="0"/>
    </w:p>
    <w:p>
      <w:pPr/>
    </w:p>
    <w:tbl>
      <w:tblPr>
        <w:tblStyle w:val="5"/>
        <w:tblW w:w="22325" w:type="dxa"/>
        <w:tblInd w:w="0" w:type="dxa"/>
        <w:tblLayout w:type="fixed"/>
        <w:tblCellMar>
          <w:top w:w="0" w:type="dxa"/>
          <w:left w:w="108" w:type="dxa"/>
          <w:bottom w:w="0" w:type="dxa"/>
          <w:right w:w="108" w:type="dxa"/>
        </w:tblCellMar>
      </w:tblPr>
      <w:tblGrid>
        <w:gridCol w:w="476"/>
        <w:gridCol w:w="1503"/>
        <w:gridCol w:w="703"/>
        <w:gridCol w:w="1161"/>
        <w:gridCol w:w="12388"/>
        <w:gridCol w:w="3504"/>
        <w:gridCol w:w="1295"/>
        <w:gridCol w:w="1295"/>
      </w:tblGrid>
      <w:tr>
        <w:trPr>
          <w:trHeight w:val="285" w:hRule="atLeast"/>
          <w:tblHeader/>
        </w:trPr>
        <w:tc>
          <w:tcPr>
            <w:tcW w:w="4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序号</w:t>
            </w:r>
          </w:p>
        </w:tc>
        <w:tc>
          <w:tcPr>
            <w:tcW w:w="1503"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名称</w:t>
            </w:r>
          </w:p>
        </w:tc>
        <w:tc>
          <w:tcPr>
            <w:tcW w:w="703"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密级</w:t>
            </w:r>
          </w:p>
        </w:tc>
        <w:tc>
          <w:tcPr>
            <w:tcW w:w="1161"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专业</w:t>
            </w:r>
          </w:p>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领域</w:t>
            </w:r>
          </w:p>
        </w:tc>
        <w:tc>
          <w:tcPr>
            <w:tcW w:w="12388"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主要内容</w:t>
            </w:r>
          </w:p>
        </w:tc>
        <w:tc>
          <w:tcPr>
            <w:tcW w:w="350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功能用途</w:t>
            </w:r>
          </w:p>
        </w:tc>
        <w:tc>
          <w:tcPr>
            <w:tcW w:w="129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研究周期</w:t>
            </w:r>
          </w:p>
        </w:tc>
        <w:tc>
          <w:tcPr>
            <w:tcW w:w="129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宋体" w:hAnsi="宋体" w:eastAsia="宋体" w:cs="宋体"/>
                <w:b/>
                <w:bCs/>
                <w:color w:val="auto"/>
                <w:kern w:val="0"/>
                <w:sz w:val="20"/>
                <w:szCs w:val="20"/>
              </w:rPr>
            </w:pPr>
            <w:r>
              <w:rPr>
                <w:rFonts w:hint="eastAsia" w:ascii="宋体" w:hAnsi="宋体" w:eastAsia="宋体" w:cs="宋体"/>
                <w:b/>
                <w:bCs/>
                <w:color w:val="auto"/>
                <w:kern w:val="0"/>
                <w:sz w:val="20"/>
                <w:szCs w:val="20"/>
              </w:rPr>
              <w:t>项目预算（万元）</w:t>
            </w:r>
          </w:p>
        </w:tc>
      </w:tr>
      <w:tr>
        <w:trPr>
          <w:trHeight w:val="2880" w:hRule="atLeast"/>
        </w:trPr>
        <w:tc>
          <w:tcPr>
            <w:tcW w:w="476"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
              </w:numPr>
              <w:tabs>
                <w:tab w:val="left" w:pos="425"/>
              </w:tabs>
              <w:ind w:left="425" w:leftChars="0" w:hanging="425" w:firstLineChars="0"/>
              <w:jc w:val="center"/>
              <w:rPr>
                <w:rFonts w:ascii="宋体" w:hAnsi="宋体" w:eastAsia="宋体" w:cs="宋体"/>
                <w:color w:val="auto"/>
                <w:kern w:val="0"/>
                <w:sz w:val="20"/>
                <w:szCs w:val="20"/>
              </w:rPr>
            </w:pPr>
          </w:p>
        </w:tc>
        <w:tc>
          <w:tcPr>
            <w:tcW w:w="150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31506010106铯原子钟小型轻量化技术研究</w:t>
            </w:r>
          </w:p>
        </w:tc>
        <w:tc>
          <w:tcPr>
            <w:tcW w:w="70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公开</w:t>
            </w:r>
          </w:p>
        </w:tc>
        <w:tc>
          <w:tcPr>
            <w:tcW w:w="116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时空基准</w:t>
            </w:r>
          </w:p>
        </w:tc>
        <w:tc>
          <w:tcPr>
            <w:tcW w:w="123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研究内容：</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（1）高性能微波腔小型化技术；</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（2）铯束管小型轻量化技术；</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（3）频标电路小型化与集成化技术研究；</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（4）环境适应性设计技术。</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主要技术指标：</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（1）准确度：优于5E-13；</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（2）稳定度：优于5.0E-12/1秒，2.7E-14/天，2.0E-14/5天；</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（3）重量：小于20kg；</w:t>
            </w:r>
            <w:r>
              <w:rPr>
                <w:rFonts w:hint="eastAsia" w:ascii="宋体" w:hAnsi="宋体" w:eastAsia="宋体" w:cs="宋体"/>
                <w:color w:val="auto"/>
                <w:kern w:val="0"/>
                <w:sz w:val="20"/>
                <w:szCs w:val="20"/>
              </w:rPr>
              <w:br w:type="textWrapping"/>
            </w:r>
            <w:r>
              <w:rPr>
                <w:rFonts w:hint="eastAsia" w:ascii="宋体" w:hAnsi="宋体" w:eastAsia="宋体" w:cs="宋体"/>
                <w:color w:val="auto"/>
                <w:kern w:val="0"/>
                <w:sz w:val="20"/>
                <w:szCs w:val="20"/>
              </w:rPr>
              <w:t>（4）3U标准机箱。</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成果形式：</w:t>
            </w:r>
            <w:r>
              <w:rPr>
                <w:rFonts w:hint="eastAsia" w:ascii="宋体" w:hAnsi="宋体" w:eastAsia="宋体" w:cs="宋体"/>
                <w:color w:val="auto"/>
                <w:kern w:val="0"/>
                <w:sz w:val="20"/>
                <w:szCs w:val="20"/>
              </w:rPr>
              <w:t>研究报告、原理样机。</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最大支持单位数：</w:t>
            </w:r>
            <w:r>
              <w:rPr>
                <w:rFonts w:hint="eastAsia" w:ascii="宋体" w:hAnsi="宋体" w:eastAsia="宋体" w:cs="宋体"/>
                <w:color w:val="auto"/>
                <w:kern w:val="0"/>
                <w:sz w:val="20"/>
                <w:szCs w:val="20"/>
              </w:rPr>
              <w:t>1家。</w:t>
            </w:r>
          </w:p>
        </w:tc>
        <w:tc>
          <w:tcPr>
            <w:tcW w:w="350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面向高精度时频基准的实用化、小型化应用需求，在守时型铯原子钟研究的基础上，进一步突破铯束管小型轻量化和频标电路集成化关键技术，在保证核心指标前提下显著减小整钟体积和重量并提升性能，为铯原子钟轻量化应用提供核心技术储备，为时空基准的国产化、实用化可持续发展提供有力支撑。经过研究，一是为时频系统提供高精度自主守时基准；二是为车载和地面基站提供小型化、可移动时频基准。经过预研，该项目技术成熟度达到5级。</w:t>
            </w: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2019年-2021年</w:t>
            </w:r>
          </w:p>
        </w:tc>
        <w:tc>
          <w:tcPr>
            <w:tcW w:w="1295" w:type="dxa"/>
            <w:tcBorders>
              <w:top w:val="nil"/>
              <w:left w:val="nil"/>
              <w:bottom w:val="single" w:color="auto" w:sz="4" w:space="0"/>
              <w:right w:val="single" w:color="auto"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color w:val="auto"/>
                <w:kern w:val="0"/>
                <w:sz w:val="20"/>
                <w:szCs w:val="20"/>
              </w:rPr>
            </w:pPr>
            <w:r>
              <w:rPr>
                <w:rFonts w:hint="eastAsia" w:ascii="宋体" w:hAnsi="宋体" w:eastAsia="宋体" w:cs="宋体"/>
                <w:i w:val="0"/>
                <w:color w:val="auto"/>
                <w:kern w:val="0"/>
                <w:sz w:val="20"/>
                <w:szCs w:val="20"/>
                <w:u w:val="none"/>
                <w:lang w:val="en-US" w:eastAsia="zh-CN" w:bidi="ar"/>
              </w:rPr>
              <w:t>每家单位申报经费限额108万元</w:t>
            </w:r>
          </w:p>
        </w:tc>
      </w:tr>
      <w:tr>
        <w:trPr>
          <w:trHeight w:val="278" w:hRule="atLeast"/>
        </w:trPr>
        <w:tc>
          <w:tcPr>
            <w:tcW w:w="476"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
              </w:numPr>
              <w:tabs>
                <w:tab w:val="left" w:pos="425"/>
              </w:tabs>
              <w:ind w:left="425" w:leftChars="0" w:hanging="425" w:firstLineChars="0"/>
              <w:jc w:val="center"/>
              <w:rPr>
                <w:rFonts w:ascii="宋体" w:hAnsi="宋体" w:eastAsia="宋体" w:cs="宋体"/>
                <w:color w:val="auto"/>
                <w:kern w:val="0"/>
                <w:sz w:val="20"/>
                <w:szCs w:val="20"/>
              </w:rPr>
            </w:pPr>
          </w:p>
        </w:tc>
        <w:tc>
          <w:tcPr>
            <w:tcW w:w="150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315075110意图驱动的安全智能配置技术</w:t>
            </w:r>
          </w:p>
        </w:tc>
        <w:tc>
          <w:tcPr>
            <w:tcW w:w="70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公开</w:t>
            </w:r>
          </w:p>
        </w:tc>
        <w:tc>
          <w:tcPr>
            <w:tcW w:w="1161"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信息系统安全</w:t>
            </w:r>
          </w:p>
        </w:tc>
        <w:tc>
          <w:tcPr>
            <w:tcW w:w="12388"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研究内容：</w:t>
            </w:r>
            <w:r>
              <w:rPr>
                <w:rFonts w:hint="eastAsia" w:ascii="宋体" w:hAnsi="宋体" w:eastAsia="宋体" w:cs="宋体"/>
                <w:color w:val="auto"/>
                <w:kern w:val="0"/>
                <w:sz w:val="20"/>
                <w:szCs w:val="20"/>
              </w:rPr>
              <w:t>（1）安全配置与验证框架：研究安全配置的体系框架、功能组成、接口规范、标准体系等内容，实现系统的自动化、安全可靠的配置。（2）安全配置意图表征技术：研究系统配置与运维的意图描述语言，具备对网络设备、安全设备、设备等配置与管理描述的能力，可实现不同人类意图转换为系统配置的意图描述语言。（3）安全配置自动生成与验证技术：研究配置意图与配置策略描述与数据建模、配置意图自动化转译等内容，实现系统配置策略从手动到自动化生成，降低手工配置错误率。（4）安全配置协议设计技术：研究面向网络设备、安全设备等能力需求与接口规范的描述、两者映射关系建模与验证、最小安全风险计算等内容，实现系统设备的对外接口暴露更小的安全风险。</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主要战术技术指标：</w:t>
            </w:r>
            <w:r>
              <w:rPr>
                <w:rFonts w:hint="eastAsia" w:ascii="宋体" w:hAnsi="宋体" w:eastAsia="宋体" w:cs="宋体"/>
                <w:color w:val="auto"/>
                <w:kern w:val="0"/>
                <w:sz w:val="20"/>
                <w:szCs w:val="20"/>
              </w:rPr>
              <w:t>（1）提出一套安全配置的体系，包括功能组成、接口规范、标准体系等；（2）提出计算系统配置与运维接口最小集的计算方式，在完成同等功能条件下实现更高的安全，可支持网络设备、安全设备等设备的接口；（3）提出普适的意图描述语言，可支持网络设备、安全设备的配置与运维等任务，可拓展支撑语言、文字、动作等3种意图的输入；（4）支持将意图描述语言自动转化为配置或运维策略，转译时间为分钟级别，利用数学模型实现可证明的安全配置；（5）在生产环境中进行实验与验证，骨干网络节点规模不低于20个节点，用户网络不低于200个网络，用户终端规模不少于5万。</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成果形式：</w:t>
            </w:r>
            <w:r>
              <w:rPr>
                <w:rFonts w:hint="eastAsia" w:ascii="宋体" w:hAnsi="宋体" w:eastAsia="宋体" w:cs="宋体"/>
                <w:color w:val="auto"/>
                <w:kern w:val="0"/>
                <w:sz w:val="20"/>
                <w:szCs w:val="20"/>
              </w:rPr>
              <w:t>研究报告、专利、标准规范、原型系统。</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最大支持单位数：</w:t>
            </w:r>
            <w:r>
              <w:rPr>
                <w:rFonts w:hint="eastAsia" w:ascii="宋体" w:hAnsi="宋体" w:eastAsia="宋体" w:cs="宋体"/>
                <w:color w:val="auto"/>
                <w:kern w:val="0"/>
                <w:sz w:val="20"/>
                <w:szCs w:val="20"/>
              </w:rPr>
              <w:t>1家。</w:t>
            </w:r>
          </w:p>
        </w:tc>
        <w:tc>
          <w:tcPr>
            <w:tcW w:w="350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针对信息系统安全防御体系应对网络威胁需要快速响应、统一配置的需求，通过开展意图驱动的安全智能配置技术研究和原型系统研制，将网络防御意图准确快速地转化为信息系统装备（含安全防护装备、网络装备等）可识别的网络防御策略，提升大规模信息系统基础设施防御策略智能生成能力。经过预研，该项目技术成熟度达到5级。</w:t>
            </w: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2019年-2021年</w:t>
            </w:r>
          </w:p>
        </w:tc>
        <w:tc>
          <w:tcPr>
            <w:tcW w:w="1295" w:type="dxa"/>
            <w:tcBorders>
              <w:top w:val="nil"/>
              <w:left w:val="nil"/>
              <w:bottom w:val="single" w:color="auto" w:sz="4" w:space="0"/>
              <w:right w:val="single" w:color="auto"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color w:val="auto"/>
                <w:kern w:val="0"/>
                <w:sz w:val="20"/>
                <w:szCs w:val="20"/>
              </w:rPr>
            </w:pPr>
            <w:r>
              <w:rPr>
                <w:rFonts w:hint="eastAsia" w:ascii="宋体" w:hAnsi="宋体" w:eastAsia="宋体" w:cs="宋体"/>
                <w:i w:val="0"/>
                <w:color w:val="auto"/>
                <w:kern w:val="0"/>
                <w:sz w:val="20"/>
                <w:szCs w:val="20"/>
                <w:u w:val="none"/>
                <w:lang w:val="en-US" w:eastAsia="zh-CN" w:bidi="ar"/>
              </w:rPr>
              <w:t>每家单位申报经费限额400万元</w:t>
            </w:r>
          </w:p>
        </w:tc>
      </w:tr>
      <w:tr>
        <w:trPr>
          <w:trHeight w:val="1680" w:hRule="atLeast"/>
        </w:trPr>
        <w:tc>
          <w:tcPr>
            <w:tcW w:w="476"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
              </w:numPr>
              <w:tabs>
                <w:tab w:val="left" w:pos="425"/>
              </w:tabs>
              <w:ind w:left="425" w:leftChars="0" w:hanging="425" w:firstLineChars="0"/>
              <w:jc w:val="center"/>
              <w:rPr>
                <w:rFonts w:ascii="宋体" w:hAnsi="宋体" w:eastAsia="宋体" w:cs="宋体"/>
                <w:color w:val="auto"/>
                <w:kern w:val="0"/>
                <w:sz w:val="20"/>
                <w:szCs w:val="20"/>
              </w:rPr>
            </w:pPr>
          </w:p>
        </w:tc>
        <w:tc>
          <w:tcPr>
            <w:tcW w:w="150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315075111面向大规模网络的安全威胁智能分析发现技术</w:t>
            </w:r>
          </w:p>
        </w:tc>
        <w:tc>
          <w:tcPr>
            <w:tcW w:w="70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公开</w:t>
            </w:r>
          </w:p>
        </w:tc>
        <w:tc>
          <w:tcPr>
            <w:tcW w:w="1161"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信息系统安全</w:t>
            </w:r>
          </w:p>
        </w:tc>
        <w:tc>
          <w:tcPr>
            <w:tcW w:w="123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研究内容：</w:t>
            </w:r>
            <w:r>
              <w:rPr>
                <w:rFonts w:hint="eastAsia" w:ascii="宋体" w:hAnsi="宋体" w:eastAsia="宋体" w:cs="宋体"/>
                <w:color w:val="auto"/>
                <w:kern w:val="0"/>
                <w:sz w:val="20"/>
                <w:szCs w:val="20"/>
              </w:rPr>
              <w:t>（1）大规模网络威胁分析发现框架：研究大规模网络威胁分析发现体系框架、功能组成、接口规范、标准体系等内容，威胁发现框架具有良好的适应性和演进性，实现大规模网络攻击事件发现。（2）多维数据高效采集技术：研究网络、终端和应用的日志、流量、事件、运行状态等多维数据采集技术和低开销数据传输技术，实现在大幅降低存储和带宽开销条件下实现网络流量、恶意攻击行为和设备日志、状态等多维信息的高效准确采集。（3）网络异常检测与未知威胁发现技术：利用人工智能算法对用户、事件、日志、流量、应用运行等多维数据进行上下文关联检测分析，能够在无样本或少样本条件下训练机器学习算法模型，实现对高级持续威胁的准确分析和行为预测。（4）实际网络环境示范与验证：在典型实际网络环境中开展大规模网络威胁分析发现原型系统应用示范。</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主要战术技术指标：</w:t>
            </w:r>
            <w:r>
              <w:rPr>
                <w:rFonts w:hint="eastAsia" w:ascii="宋体" w:hAnsi="宋体" w:eastAsia="宋体" w:cs="宋体"/>
                <w:color w:val="auto"/>
                <w:kern w:val="0"/>
                <w:sz w:val="20"/>
                <w:szCs w:val="20"/>
              </w:rPr>
              <w:t>（1）提出一套大规模网络威胁分析发现框架，包括功能组成、接口规范以及组织运用等；（2）网络流量在压缩30%条件下，网络检测准确率不低于原有检测精度99.5%；（3）至少支持小样本算法、样本对抗生成和在线训练等3种场景；（4）在实际网络环境中进行实验与验证，骨干网络节点规模不低于20个节点，用户网络不低于200个网络，用户终端规模不少于5万。</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成果形式：</w:t>
            </w:r>
            <w:r>
              <w:rPr>
                <w:rFonts w:hint="eastAsia" w:ascii="宋体" w:hAnsi="宋体" w:eastAsia="宋体" w:cs="宋体"/>
                <w:color w:val="auto"/>
                <w:kern w:val="0"/>
                <w:sz w:val="20"/>
                <w:szCs w:val="20"/>
              </w:rPr>
              <w:t>研究报告、专利、标准规范、原型系统。</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最大支持单位数：1</w:t>
            </w:r>
            <w:r>
              <w:rPr>
                <w:rFonts w:hint="eastAsia" w:ascii="宋体" w:hAnsi="宋体" w:eastAsia="宋体" w:cs="宋体"/>
                <w:color w:val="auto"/>
                <w:kern w:val="0"/>
                <w:sz w:val="20"/>
                <w:szCs w:val="20"/>
              </w:rPr>
              <w:t>家。</w:t>
            </w:r>
          </w:p>
        </w:tc>
        <w:tc>
          <w:tcPr>
            <w:tcW w:w="350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随着网络规模增大和结构复杂化，针对现有网络恶意流量检测工具难以应对高级复杂网络攻击痕迹分析与追踪的问题，通过开展面向大规模网络的安全威胁智能分析发现技术和原型系统研制，通过对网络、终端和应用的日志、流量、事件等多维数据智能分析，实现对高级持续威胁的准确发现和痕迹追踪。经过预研，该项目技术成熟度达到5级。</w:t>
            </w: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2019年-2021年</w:t>
            </w:r>
          </w:p>
        </w:tc>
        <w:tc>
          <w:tcPr>
            <w:tcW w:w="1295" w:type="dxa"/>
            <w:tcBorders>
              <w:top w:val="nil"/>
              <w:left w:val="nil"/>
              <w:bottom w:val="single" w:color="auto" w:sz="4" w:space="0"/>
              <w:right w:val="single" w:color="auto"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color w:val="auto"/>
                <w:kern w:val="0"/>
                <w:sz w:val="20"/>
                <w:szCs w:val="20"/>
              </w:rPr>
            </w:pPr>
            <w:r>
              <w:rPr>
                <w:rFonts w:hint="eastAsia" w:ascii="宋体" w:hAnsi="宋体" w:eastAsia="宋体" w:cs="宋体"/>
                <w:i w:val="0"/>
                <w:color w:val="auto"/>
                <w:kern w:val="0"/>
                <w:sz w:val="20"/>
                <w:szCs w:val="20"/>
                <w:u w:val="none"/>
                <w:lang w:val="en-US" w:eastAsia="zh-CN" w:bidi="ar"/>
              </w:rPr>
              <w:t>每家单位申报经费限额395万元</w:t>
            </w:r>
          </w:p>
        </w:tc>
      </w:tr>
      <w:tr>
        <w:trPr>
          <w:trHeight w:val="1620" w:hRule="atLeast"/>
        </w:trPr>
        <w:tc>
          <w:tcPr>
            <w:tcW w:w="476"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
              </w:numPr>
              <w:tabs>
                <w:tab w:val="left" w:pos="425"/>
              </w:tabs>
              <w:ind w:left="425" w:leftChars="0" w:hanging="425" w:firstLineChars="0"/>
              <w:jc w:val="center"/>
              <w:rPr>
                <w:rFonts w:ascii="宋体" w:hAnsi="宋体" w:eastAsia="宋体" w:cs="宋体"/>
                <w:color w:val="auto"/>
                <w:kern w:val="0"/>
                <w:sz w:val="20"/>
                <w:szCs w:val="20"/>
              </w:rPr>
            </w:pPr>
          </w:p>
        </w:tc>
        <w:tc>
          <w:tcPr>
            <w:tcW w:w="150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315075304操作系统内核智能化漏洞挖掘与自动修复技术</w:t>
            </w:r>
          </w:p>
        </w:tc>
        <w:tc>
          <w:tcPr>
            <w:tcW w:w="703"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公开</w:t>
            </w:r>
          </w:p>
        </w:tc>
        <w:tc>
          <w:tcPr>
            <w:tcW w:w="1161"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信息系统安全</w:t>
            </w:r>
          </w:p>
        </w:tc>
        <w:tc>
          <w:tcPr>
            <w:tcW w:w="12388"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研究内容：</w:t>
            </w:r>
            <w:r>
              <w:rPr>
                <w:rFonts w:hint="eastAsia" w:ascii="宋体" w:hAnsi="宋体" w:eastAsia="宋体" w:cs="宋体"/>
                <w:color w:val="auto"/>
                <w:kern w:val="0"/>
                <w:sz w:val="20"/>
                <w:szCs w:val="20"/>
              </w:rPr>
              <w:t>（1）系统调用依赖关系模型构建技术：系统调用是内核测试的输入，针对测试输入的语义正确性问题，研究系统调用之间的依赖关系，建立依赖关系模型。（2）模糊测试用例自动高效生成技术：针对现有模糊测试生成冗余用例的问题，研究精简测试样本技术，在减少测试开销的前提下，不影响测试路径覆盖能力。（3）内核缺陷自动修复技术：针对发现的操作系统内核缺陷，能够自动生成缺陷修复的代码或模块。（4）基于多覆盖率引导算法和机器学习的模糊测试框架：以覆盖率引导的智能化模糊测试技术为框架，构建高效的操作系统内核漏洞挖掘原型系统。</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主要战术技术指标：</w:t>
            </w:r>
            <w:r>
              <w:rPr>
                <w:rFonts w:hint="eastAsia" w:ascii="宋体" w:hAnsi="宋体" w:eastAsia="宋体" w:cs="宋体"/>
                <w:color w:val="auto"/>
                <w:kern w:val="0"/>
                <w:sz w:val="20"/>
                <w:szCs w:val="20"/>
              </w:rPr>
              <w:t>（1）支持对运行在自主硬件架构上的200种以上的系统调用接口进行自动化模糊测试；（2）支持自动化配置覆盖率引导算法，算法种类大于5种，行覆盖率不低于20%，有效测试用例去冗率不低于90%；（3）能够发现不少于30个内核错误，发现内核错误的类型不少于5种，提供不同种类漏洞代码复现和自动生成漏洞修复代码或模块。</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成果形式：</w:t>
            </w:r>
            <w:r>
              <w:rPr>
                <w:rFonts w:hint="eastAsia" w:ascii="宋体" w:hAnsi="宋体" w:eastAsia="宋体" w:cs="宋体"/>
                <w:color w:val="auto"/>
                <w:kern w:val="0"/>
                <w:sz w:val="20"/>
                <w:szCs w:val="20"/>
              </w:rPr>
              <w:t>研究报告、专利、标准规范、原型系统。</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最大支持单位数：1</w:t>
            </w:r>
            <w:r>
              <w:rPr>
                <w:rFonts w:hint="eastAsia" w:ascii="宋体" w:hAnsi="宋体" w:eastAsia="宋体" w:cs="宋体"/>
                <w:color w:val="auto"/>
                <w:kern w:val="0"/>
                <w:sz w:val="20"/>
                <w:szCs w:val="20"/>
              </w:rPr>
              <w:t>家。</w:t>
            </w:r>
          </w:p>
        </w:tc>
        <w:tc>
          <w:tcPr>
            <w:tcW w:w="3504"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操作系统内核安全对于信息系统尤为重要。针对操作系统内核设计复杂、内核安全缺陷和漏洞难以发现和修复的问题，开展操作系统内核智能化漏洞挖掘与自动修复技术研究和原型系统研制，建立系统调用依赖关系模型，自动高效生成测试用例，自动修补内核缺陷。经过预研，该项目技术成熟度达到5级。</w:t>
            </w: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2019年-2021年</w:t>
            </w:r>
          </w:p>
        </w:tc>
        <w:tc>
          <w:tcPr>
            <w:tcW w:w="1295" w:type="dxa"/>
            <w:tcBorders>
              <w:top w:val="nil"/>
              <w:left w:val="nil"/>
              <w:bottom w:val="single" w:color="auto" w:sz="4" w:space="0"/>
              <w:right w:val="single" w:color="auto"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color w:val="auto"/>
                <w:kern w:val="0"/>
                <w:sz w:val="20"/>
                <w:szCs w:val="20"/>
              </w:rPr>
            </w:pPr>
            <w:r>
              <w:rPr>
                <w:rFonts w:hint="eastAsia" w:ascii="宋体" w:hAnsi="宋体" w:eastAsia="宋体" w:cs="宋体"/>
                <w:i w:val="0"/>
                <w:color w:val="auto"/>
                <w:kern w:val="0"/>
                <w:sz w:val="20"/>
                <w:szCs w:val="20"/>
                <w:u w:val="none"/>
                <w:lang w:val="en-US" w:eastAsia="zh-CN" w:bidi="ar"/>
              </w:rPr>
              <w:t>每家单位申报经费限额448万元</w:t>
            </w:r>
          </w:p>
        </w:tc>
      </w:tr>
      <w:tr>
        <w:trPr>
          <w:trHeight w:val="420" w:hRule="atLeast"/>
        </w:trPr>
        <w:tc>
          <w:tcPr>
            <w:tcW w:w="476"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
              </w:numPr>
              <w:tabs>
                <w:tab w:val="left" w:pos="425"/>
              </w:tabs>
              <w:ind w:left="425" w:leftChars="0" w:hanging="425" w:firstLineChars="0"/>
              <w:jc w:val="center"/>
              <w:rPr>
                <w:rFonts w:ascii="宋体" w:hAnsi="宋体" w:eastAsia="宋体" w:cs="宋体"/>
                <w:color w:val="auto"/>
                <w:kern w:val="0"/>
                <w:sz w:val="20"/>
                <w:szCs w:val="20"/>
              </w:rPr>
            </w:pPr>
          </w:p>
        </w:tc>
        <w:tc>
          <w:tcPr>
            <w:tcW w:w="150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315075305基于数字孪生的测试网络构建技术</w:t>
            </w:r>
          </w:p>
        </w:tc>
        <w:tc>
          <w:tcPr>
            <w:tcW w:w="70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公开</w:t>
            </w:r>
          </w:p>
        </w:tc>
        <w:tc>
          <w:tcPr>
            <w:tcW w:w="1161"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信息系统安全</w:t>
            </w:r>
          </w:p>
        </w:tc>
        <w:tc>
          <w:tcPr>
            <w:tcW w:w="123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研究内容：</w:t>
            </w:r>
            <w:r>
              <w:rPr>
                <w:rFonts w:hint="eastAsia" w:ascii="宋体" w:hAnsi="宋体" w:eastAsia="宋体" w:cs="宋体"/>
                <w:color w:val="auto"/>
                <w:kern w:val="0"/>
                <w:sz w:val="20"/>
                <w:szCs w:val="20"/>
              </w:rPr>
              <w:t>（1）网络系统数字孪生构建技术：研究与被测网络规模一致、网络结构相同、业务应用孪生、网络状态同步、安全威胁等同的系统虚拟重建技术，实现被测网络的精确同步和虚拟复现，确保孪生网络的高逼真度。（2）网络资源动态管控技术：研究被测网络资源动态管控机制和交互协议，能够在孪生网络中验证被测网络资源根据网络拓扑、资源容量和安全等级等因素生成资源控制策略，保证网络的资源动态分配和资源快速回收。（3）网络流量隔离控制技术：研究网络流量隔离与引导技术，能够在孪生系统中抽取和还原被测网络特征流量，并引导攻击流量进入孪生网络，实现在孪生网络中分析检测威胁流量的能力。</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主要战术技术指标：</w:t>
            </w:r>
            <w:r>
              <w:rPr>
                <w:rFonts w:hint="eastAsia" w:ascii="宋体" w:hAnsi="宋体" w:eastAsia="宋体" w:cs="宋体"/>
                <w:color w:val="auto"/>
                <w:kern w:val="0"/>
                <w:sz w:val="20"/>
                <w:szCs w:val="20"/>
              </w:rPr>
              <w:t>（1）孪生网络在复制被测网络时，保留业务应用、网络状态关键特征，隐藏敏感军事特征，保护跨域互联安全系统信息免遭泄露；（2）支持至少10万节点的网络构建和资源管理，全网资源动态调整时间不超过10分钟；（3）支持被测网络流量到孪生网络的重定向和流量隔离，具备攻击场景记录和重放功能。</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成果形式：</w:t>
            </w:r>
            <w:r>
              <w:rPr>
                <w:rFonts w:hint="eastAsia" w:ascii="宋体" w:hAnsi="宋体" w:eastAsia="宋体" w:cs="宋体"/>
                <w:color w:val="auto"/>
                <w:kern w:val="0"/>
                <w:sz w:val="20"/>
                <w:szCs w:val="20"/>
              </w:rPr>
              <w:t>研究报告、专利、原型系统。</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最大支持单位数：1</w:t>
            </w:r>
            <w:r>
              <w:rPr>
                <w:rFonts w:hint="eastAsia" w:ascii="宋体" w:hAnsi="宋体" w:eastAsia="宋体" w:cs="宋体"/>
                <w:color w:val="auto"/>
                <w:kern w:val="0"/>
                <w:sz w:val="20"/>
                <w:szCs w:val="20"/>
              </w:rPr>
              <w:t>家。</w:t>
            </w:r>
          </w:p>
        </w:tc>
        <w:tc>
          <w:tcPr>
            <w:tcW w:w="350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针对网络靶场构建中网络元素、网络连接、网络行为逼真度要求高的问题，引入数字孪生理念，研究数字孪生网络构建技术，实现对被测网络高逼真数字复现，以此验证资源控制策略和分析攻击流量，提升网络系统可靠性、可用性和安全性。经过预研，该项目技术成熟度达到4级。</w:t>
            </w: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2019年-2021年</w:t>
            </w:r>
          </w:p>
        </w:tc>
        <w:tc>
          <w:tcPr>
            <w:tcW w:w="1295" w:type="dxa"/>
            <w:tcBorders>
              <w:top w:val="nil"/>
              <w:left w:val="nil"/>
              <w:bottom w:val="single" w:color="auto" w:sz="4" w:space="0"/>
              <w:right w:val="single" w:color="auto"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color w:val="auto"/>
                <w:kern w:val="0"/>
                <w:sz w:val="20"/>
                <w:szCs w:val="20"/>
              </w:rPr>
            </w:pPr>
            <w:r>
              <w:rPr>
                <w:rFonts w:hint="eastAsia" w:ascii="宋体" w:hAnsi="宋体" w:eastAsia="宋体" w:cs="宋体"/>
                <w:i w:val="0"/>
                <w:color w:val="auto"/>
                <w:kern w:val="0"/>
                <w:sz w:val="20"/>
                <w:szCs w:val="20"/>
                <w:u w:val="none"/>
                <w:lang w:val="en-US" w:eastAsia="zh-CN" w:bidi="ar"/>
              </w:rPr>
              <w:t>每家单位申报经费限额500万元</w:t>
            </w:r>
          </w:p>
        </w:tc>
      </w:tr>
      <w:tr>
        <w:trPr>
          <w:trHeight w:val="136" w:hRule="atLeast"/>
        </w:trPr>
        <w:tc>
          <w:tcPr>
            <w:tcW w:w="476"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
              </w:numPr>
              <w:tabs>
                <w:tab w:val="left" w:pos="425"/>
              </w:tabs>
              <w:ind w:left="425" w:leftChars="0" w:hanging="425" w:firstLineChars="0"/>
              <w:jc w:val="center"/>
              <w:rPr>
                <w:rFonts w:ascii="宋体" w:hAnsi="宋体" w:eastAsia="宋体" w:cs="宋体"/>
                <w:color w:val="auto"/>
                <w:kern w:val="0"/>
                <w:sz w:val="20"/>
                <w:szCs w:val="20"/>
              </w:rPr>
            </w:pPr>
          </w:p>
        </w:tc>
        <w:tc>
          <w:tcPr>
            <w:tcW w:w="150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315075602基于区块链的军事应用技术</w:t>
            </w:r>
          </w:p>
        </w:tc>
        <w:tc>
          <w:tcPr>
            <w:tcW w:w="70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公开</w:t>
            </w:r>
          </w:p>
        </w:tc>
        <w:tc>
          <w:tcPr>
            <w:tcW w:w="1161"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信息系统安全</w:t>
            </w:r>
          </w:p>
        </w:tc>
        <w:tc>
          <w:tcPr>
            <w:tcW w:w="123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研究内容：</w:t>
            </w:r>
            <w:r>
              <w:rPr>
                <w:rFonts w:hint="eastAsia" w:ascii="宋体" w:hAnsi="宋体" w:eastAsia="宋体" w:cs="宋体"/>
                <w:color w:val="auto"/>
                <w:kern w:val="0"/>
                <w:sz w:val="20"/>
                <w:szCs w:val="20"/>
              </w:rPr>
              <w:t>（1）区块链基础平台服务技术：分析评估区块链基础平台体系架构、实现机理、技术优势、当前局限和发展方向，研究智能合约、共识机制等区块链关键技术及其在军事领域中应用的技术途径选择和技术可行性。（2）区块链军事应用构建技术：提出1项面向军事领域的基于区块链的创新型应用方案，研究但不限于通信网络、信息服务、指挥控制、资产管理、无人智能等军事应用方向，鼓励创新性的军事应用构想，分析比较该项军事应用基于区块链技术实现的可行性和技术优势，设计基于区块链的军事应用系统架构、技术实现和部署运用模式，为区块链在军事领域提供技术基础和实践探索。（3）区块链军事应用演示验证：搭建所提出的基于区块链的军事应用原型系统并进行演示验证。</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主要战术技术指标：</w:t>
            </w:r>
            <w:r>
              <w:rPr>
                <w:rFonts w:hint="eastAsia" w:ascii="宋体" w:hAnsi="宋体" w:eastAsia="宋体" w:cs="宋体"/>
                <w:color w:val="auto"/>
                <w:kern w:val="0"/>
                <w:sz w:val="20"/>
                <w:szCs w:val="20"/>
              </w:rPr>
              <w:t>（1）提出的区块链军事应用应围绕军事领域的特定场景、特定问题，基于区块链实现的军事应用的核心指标应高于非基于区块链实现的该类应用；（2）搭建的区块链的军事应用原型系统，区块链系统的网络节点不少于1000个。</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成果形式：</w:t>
            </w:r>
            <w:r>
              <w:rPr>
                <w:rFonts w:hint="eastAsia" w:ascii="宋体" w:hAnsi="宋体" w:eastAsia="宋体" w:cs="宋体"/>
                <w:color w:val="auto"/>
                <w:kern w:val="0"/>
                <w:sz w:val="20"/>
                <w:szCs w:val="20"/>
              </w:rPr>
              <w:t>研究报告、原型系统。</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最大支持单位数：5</w:t>
            </w:r>
            <w:r>
              <w:rPr>
                <w:rFonts w:hint="eastAsia" w:ascii="宋体" w:hAnsi="宋体" w:eastAsia="宋体" w:cs="宋体"/>
                <w:color w:val="auto"/>
                <w:kern w:val="0"/>
                <w:sz w:val="20"/>
                <w:szCs w:val="20"/>
              </w:rPr>
              <w:t>家。</w:t>
            </w:r>
          </w:p>
        </w:tc>
        <w:tc>
          <w:tcPr>
            <w:tcW w:w="350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利用区块链技术防篡改、防侦测技术特点，开展区块链在军事领域的应用探索，研究但不限于通信网络、信息服务、指挥控制、资产管理、无人智能等军事应用方向，构建基于区块链的军事应用生态体系，开展基于区块链的军事应用方案设计、原型系统研制和技术优势对比，为区块链在军事领域应用提供技术基础和实践探索经过预研，该项目技术成熟度不低于4级。</w:t>
            </w: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2019年-2021年</w:t>
            </w:r>
          </w:p>
        </w:tc>
        <w:tc>
          <w:tcPr>
            <w:tcW w:w="1295" w:type="dxa"/>
            <w:tcBorders>
              <w:top w:val="nil"/>
              <w:left w:val="nil"/>
              <w:bottom w:val="single" w:color="auto" w:sz="4" w:space="0"/>
              <w:right w:val="single" w:color="auto"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color w:val="auto"/>
                <w:kern w:val="0"/>
                <w:sz w:val="20"/>
                <w:szCs w:val="20"/>
              </w:rPr>
            </w:pPr>
            <w:r>
              <w:rPr>
                <w:rFonts w:hint="eastAsia" w:ascii="宋体" w:hAnsi="宋体" w:eastAsia="宋体" w:cs="宋体"/>
                <w:i w:val="0"/>
                <w:color w:val="auto"/>
                <w:kern w:val="0"/>
                <w:sz w:val="20"/>
                <w:szCs w:val="20"/>
                <w:u w:val="none"/>
                <w:lang w:val="en-US" w:eastAsia="zh-CN" w:bidi="ar"/>
              </w:rPr>
              <w:t>每家单位申报经费限额295万元</w:t>
            </w:r>
          </w:p>
        </w:tc>
      </w:tr>
      <w:tr>
        <w:trPr>
          <w:trHeight w:val="1890" w:hRule="atLeast"/>
        </w:trPr>
        <w:tc>
          <w:tcPr>
            <w:tcW w:w="476" w:type="dxa"/>
            <w:tcBorders>
              <w:top w:val="nil"/>
              <w:left w:val="single" w:color="auto" w:sz="4" w:space="0"/>
              <w:bottom w:val="single" w:color="auto" w:sz="4" w:space="0"/>
              <w:right w:val="single" w:color="auto" w:sz="4" w:space="0"/>
            </w:tcBorders>
            <w:shd w:val="clear" w:color="auto" w:fill="auto"/>
            <w:vAlign w:val="center"/>
          </w:tcPr>
          <w:p>
            <w:pPr>
              <w:widowControl/>
              <w:numPr>
                <w:ilvl w:val="0"/>
                <w:numId w:val="1"/>
              </w:numPr>
              <w:tabs>
                <w:tab w:val="left" w:pos="425"/>
              </w:tabs>
              <w:ind w:left="425" w:leftChars="0" w:hanging="425" w:firstLineChars="0"/>
              <w:jc w:val="center"/>
              <w:rPr>
                <w:rFonts w:ascii="宋体" w:hAnsi="宋体" w:eastAsia="宋体" w:cs="宋体"/>
                <w:color w:val="auto"/>
                <w:kern w:val="0"/>
                <w:sz w:val="20"/>
                <w:szCs w:val="20"/>
              </w:rPr>
            </w:pPr>
          </w:p>
        </w:tc>
        <w:tc>
          <w:tcPr>
            <w:tcW w:w="150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315075705深度学习算法可信性技术</w:t>
            </w:r>
          </w:p>
        </w:tc>
        <w:tc>
          <w:tcPr>
            <w:tcW w:w="70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公开</w:t>
            </w:r>
          </w:p>
        </w:tc>
        <w:tc>
          <w:tcPr>
            <w:tcW w:w="1161"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信息系统安全</w:t>
            </w:r>
          </w:p>
        </w:tc>
        <w:tc>
          <w:tcPr>
            <w:tcW w:w="1238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bCs/>
                <w:color w:val="auto"/>
                <w:kern w:val="0"/>
                <w:sz w:val="20"/>
                <w:szCs w:val="20"/>
              </w:rPr>
            </w:pPr>
            <w:r>
              <w:rPr>
                <w:rFonts w:hint="eastAsia" w:ascii="宋体" w:hAnsi="宋体" w:eastAsia="宋体" w:cs="宋体"/>
                <w:b/>
                <w:bCs/>
                <w:color w:val="auto"/>
                <w:kern w:val="0"/>
                <w:sz w:val="20"/>
                <w:szCs w:val="20"/>
              </w:rPr>
              <w:t>研究内容：</w:t>
            </w:r>
            <w:r>
              <w:rPr>
                <w:rFonts w:hint="eastAsia" w:ascii="宋体" w:hAnsi="宋体" w:eastAsia="宋体" w:cs="宋体"/>
                <w:color w:val="auto"/>
                <w:kern w:val="0"/>
                <w:sz w:val="20"/>
                <w:szCs w:val="20"/>
              </w:rPr>
              <w:t>（1）深度学习网络层次化分析技术：针对深度网络层次规模庞大且连接复杂，研究网络层次化分析技术，层次化分析网络的作用机理，增强对系统输出的信任度。（2）深度学习网络路径分析技术：针对深度学习网络的巨量输入节点与多层结构，研究输入信号在网络中的作用路径与信号通路，分析信息在网络中的逐层传递与演变规律，提升深度学习网络结构的可理解性。（3）深度学习算法可信度量技术：针对深度学习网络可信难以度量的问题，研究深度学习算法可信度量技术，提出深度学习算法可信评估指标体系，构建仿真软件，实现算法可信度量可视化分析。</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主要战术技术指标：</w:t>
            </w:r>
            <w:r>
              <w:rPr>
                <w:rFonts w:hint="eastAsia" w:ascii="宋体" w:hAnsi="宋体" w:eastAsia="宋体" w:cs="宋体"/>
                <w:color w:val="auto"/>
                <w:kern w:val="0"/>
                <w:sz w:val="20"/>
                <w:szCs w:val="20"/>
              </w:rPr>
              <w:t>（1）支持不少于3种的自适应可解释特征构建，具备算法可信度量评估可视化分析能力。（2）支持不少于2种深度学习模型的层次化分析算法，具备网络各层与决策结果的作用评估能力。（3）支持不少于2种深度学习模型的网络路径分析算法，具备对信号逐层演变规律的分析能力。（4）针对深度学习模型的可解释性和不同网络的健壮性形成可视化分析演示软件。</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成果形式：</w:t>
            </w:r>
            <w:r>
              <w:rPr>
                <w:rFonts w:hint="eastAsia" w:ascii="宋体" w:hAnsi="宋体" w:eastAsia="宋体" w:cs="宋体"/>
                <w:color w:val="auto"/>
                <w:kern w:val="0"/>
                <w:sz w:val="20"/>
                <w:szCs w:val="20"/>
              </w:rPr>
              <w:t>研究报告、可视化分析演示软件。</w:t>
            </w:r>
            <w:r>
              <w:rPr>
                <w:rFonts w:hint="eastAsia" w:ascii="宋体" w:hAnsi="宋体" w:eastAsia="宋体" w:cs="宋体"/>
                <w:color w:val="auto"/>
                <w:kern w:val="0"/>
                <w:sz w:val="20"/>
                <w:szCs w:val="20"/>
              </w:rPr>
              <w:br w:type="textWrapping"/>
            </w:r>
            <w:r>
              <w:rPr>
                <w:rFonts w:hint="eastAsia" w:ascii="宋体" w:hAnsi="宋体" w:eastAsia="宋体" w:cs="宋体"/>
                <w:b/>
                <w:bCs/>
                <w:color w:val="auto"/>
                <w:kern w:val="0"/>
                <w:sz w:val="20"/>
                <w:szCs w:val="20"/>
              </w:rPr>
              <w:t>最大支持单位数：1</w:t>
            </w:r>
            <w:r>
              <w:rPr>
                <w:rFonts w:hint="eastAsia" w:ascii="宋体" w:hAnsi="宋体" w:eastAsia="宋体" w:cs="宋体"/>
                <w:color w:val="auto"/>
                <w:kern w:val="0"/>
                <w:sz w:val="20"/>
                <w:szCs w:val="20"/>
              </w:rPr>
              <w:t>家。</w:t>
            </w:r>
          </w:p>
        </w:tc>
        <w:tc>
          <w:tcPr>
            <w:tcW w:w="350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0"/>
                <w:szCs w:val="20"/>
              </w:rPr>
            </w:pPr>
            <w:r>
              <w:rPr>
                <w:rFonts w:hint="eastAsia" w:ascii="宋体" w:hAnsi="宋体" w:eastAsia="宋体" w:cs="宋体"/>
                <w:color w:val="auto"/>
                <w:kern w:val="0"/>
                <w:sz w:val="20"/>
                <w:szCs w:val="20"/>
              </w:rPr>
              <w:t>由于深度学习算法的黑盒特性，使得在智能决策、无人驾驶等安全攸关领域应用深度学习算法难以为用户提供可信赖的计算结果，或者无法判别结果是否存在计算错误。通过深度学习算法可信技术研究，设计具备可理解的深度学习智能算法或为深度学习算法设计伴生的可理解模型，旨在提升智能算法的可理解性、透明性和可信性。经过预研，该项目技术成熟度达到4级。</w:t>
            </w:r>
          </w:p>
        </w:tc>
        <w:tc>
          <w:tcPr>
            <w:tcW w:w="129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0"/>
                <w:szCs w:val="20"/>
              </w:rPr>
            </w:pPr>
            <w:r>
              <w:rPr>
                <w:rFonts w:hint="eastAsia" w:ascii="宋体" w:hAnsi="宋体" w:eastAsia="宋体" w:cs="宋体"/>
                <w:color w:val="auto"/>
                <w:kern w:val="0"/>
                <w:sz w:val="20"/>
                <w:szCs w:val="20"/>
              </w:rPr>
              <w:t>2019年-2021年</w:t>
            </w:r>
          </w:p>
        </w:tc>
        <w:tc>
          <w:tcPr>
            <w:tcW w:w="1295" w:type="dxa"/>
            <w:tcBorders>
              <w:top w:val="nil"/>
              <w:left w:val="nil"/>
              <w:bottom w:val="single" w:color="auto" w:sz="4" w:space="0"/>
              <w:right w:val="single" w:color="auto"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color w:val="auto"/>
                <w:kern w:val="0"/>
                <w:sz w:val="20"/>
                <w:szCs w:val="20"/>
              </w:rPr>
            </w:pPr>
            <w:r>
              <w:rPr>
                <w:rFonts w:hint="eastAsia" w:ascii="宋体" w:hAnsi="宋体" w:eastAsia="宋体" w:cs="宋体"/>
                <w:i w:val="0"/>
                <w:color w:val="auto"/>
                <w:kern w:val="0"/>
                <w:sz w:val="20"/>
                <w:szCs w:val="20"/>
                <w:u w:val="none"/>
                <w:lang w:val="en-US" w:eastAsia="zh-CN" w:bidi="ar"/>
              </w:rPr>
              <w:t>每家单位申报经费限额120万元</w:t>
            </w:r>
          </w:p>
        </w:tc>
      </w:tr>
    </w:tbl>
    <w:p>
      <w:pPr/>
    </w:p>
    <w:sectPr>
      <w:headerReference r:id="rId3" w:type="default"/>
      <w:footerReference r:id="rId4" w:type="default"/>
      <w:pgSz w:w="23811" w:h="16838" w:orient="landscape"/>
      <w:pgMar w:top="1134" w:right="851" w:bottom="1134"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modern"/>
    <w:pitch w:val="default"/>
    <w:sig w:usb0="00000000" w:usb1="00000000" w:usb2="00000000" w:usb3="00000000" w:csb0="0000019F" w:csb1="00000000"/>
  </w:font>
  <w:font w:name="Calibri">
    <w:altName w:val="DejaVu Sans"/>
    <w:panose1 w:val="020F0502020204030204"/>
    <w:charset w:val="00"/>
    <w:family w:val="decorative"/>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仿宋"/>
    <w:panose1 w:val="00000000000000000000"/>
    <w:charset w:val="86"/>
    <w:family w:val="auto"/>
    <w:pitch w:val="default"/>
    <w:sig w:usb0="00000000" w:usb1="00000000" w:usb2="00000016" w:usb3="00000000" w:csb0="0004000F" w:csb1="00000000"/>
  </w:font>
  <w:font w:name="FreeSerif">
    <w:panose1 w:val="02020603050405020304"/>
    <w:charset w:val="00"/>
    <w:family w:val="auto"/>
    <w:pitch w:val="default"/>
    <w:sig w:usb0="E59FAFFF" w:usb1="C200FDFF" w:usb2="43501B29" w:usb3="04000043" w:csb0="600101FF" w:csb1="FFFF0000"/>
  </w:font>
  <w:font w:name="仿宋">
    <w:panose1 w:val="02010609060101010101"/>
    <w:charset w:val="86"/>
    <w:family w:val="auto"/>
    <w:pitch w:val="default"/>
    <w:sig w:usb0="800002BF" w:usb1="38CF7CFA" w:usb2="00000016" w:usb3="00000000" w:csb0="00040001" w:csb1="00000000"/>
  </w:font>
  <w:font w:name="Garamond">
    <w:altName w:val="FreeSerif"/>
    <w:panose1 w:val="00000000000000000000"/>
    <w:charset w:val="00"/>
    <w:family w:val="roman"/>
    <w:pitch w:val="default"/>
    <w:sig w:usb0="00000000" w:usb1="00000000" w:usb2="00000000" w:usb3="00000000" w:csb0="0000009F" w:csb1="00000000"/>
  </w:font>
  <w:font w:name="仿宋_GB2312">
    <w:panose1 w:val="02010609030101010101"/>
    <w:charset w:val="86"/>
    <w:family w:val="swiss"/>
    <w:pitch w:val="default"/>
    <w:sig w:usb0="00000001" w:usb1="080E0000" w:usb2="00000000" w:usb3="00000000" w:csb0="00040000" w:csb1="00000000"/>
  </w:font>
  <w:font w:name="Courier New">
    <w:altName w:val="DejaVu Sans"/>
    <w:panose1 w:val="02070309020205020404"/>
    <w:charset w:val="00"/>
    <w:family w:val="modern"/>
    <w:pitch w:val="default"/>
    <w:sig w:usb0="00000000" w:usb1="00000000" w:usb2="00000009" w:usb3="00000000" w:csb0="000001FF" w:csb1="00000000"/>
  </w:font>
  <w:font w:name="方正小标宋简体">
    <w:panose1 w:val="03000509000000000000"/>
    <w:charset w:val="86"/>
    <w:family w:val="auto"/>
    <w:pitch w:val="default"/>
    <w:sig w:usb0="00000001" w:usb1="080E0000" w:usb2="00000000" w:usb3="00000000" w:csb0="00040000" w:csb1="00000000"/>
  </w:font>
  <w:font w:name="黑体">
    <w:panose1 w:val="02010609060101010101"/>
    <w:charset w:val="86"/>
    <w:family w:val="modern"/>
    <w:pitch w:val="default"/>
    <w:sig w:usb0="800002BF" w:usb1="38CF7CFA" w:usb2="00000016" w:usb3="00000000" w:csb0="00040001" w:csb1="00000000"/>
  </w:font>
  <w:font w:name="楷体_GB2312">
    <w:panose1 w:val="02010609030101010101"/>
    <w:charset w:val="86"/>
    <w:family w:val="swiss"/>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Verdana">
    <w:altName w:val="Ubuntu"/>
    <w:panose1 w:val="020B0604030504040204"/>
    <w:charset w:val="00"/>
    <w:family w:val="modern"/>
    <w:pitch w:val="default"/>
    <w:sig w:usb0="00000000" w:usb1="00000000" w:usb2="00000000" w:usb3="00000000" w:csb0="0000019F" w:csb1="00000000"/>
  </w:font>
  <w:font w:name="Ubuntu">
    <w:panose1 w:val="020B0604030602030204"/>
    <w:charset w:val="00"/>
    <w:family w:val="auto"/>
    <w:pitch w:val="default"/>
    <w:sig w:usb0="E00002FF" w:usb1="5000205B" w:usb2="00000000" w:usb3="00000000" w:csb0="2000009F" w:csb1="56010000"/>
  </w:font>
  <w:font w:name="Wingdings">
    <w:panose1 w:val="05000000000000000000"/>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t>—</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sz w:val="18"/>
                      </w:rPr>
                    </w:pPr>
                    <w:r>
                      <w:rPr>
                        <w:sz w:val="18"/>
                      </w:rPr>
                      <w:t>—</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71822691">
    <w:nsid w:val="5DB01C63"/>
    <w:multiLevelType w:val="singleLevel"/>
    <w:tmpl w:val="5DB01C63"/>
    <w:lvl w:ilvl="0" w:tentative="1">
      <w:start w:val="1"/>
      <w:numFmt w:val="decimal"/>
      <w:lvlText w:val="%1."/>
      <w:lvlJc w:val="left"/>
      <w:pPr>
        <w:tabs>
          <w:tab w:val="left" w:pos="425"/>
        </w:tabs>
        <w:ind w:left="425" w:leftChars="0" w:hanging="425" w:firstLineChars="0"/>
      </w:pPr>
      <w:rPr>
        <w:rFonts w:hint="default"/>
      </w:rPr>
    </w:lvl>
  </w:abstractNum>
  <w:num w:numId="1">
    <w:abstractNumId w:val="157182269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D41"/>
    <w:rsid w:val="000B3D61"/>
    <w:rsid w:val="00212C8B"/>
    <w:rsid w:val="00560E7B"/>
    <w:rsid w:val="006D4CEC"/>
    <w:rsid w:val="007A6332"/>
    <w:rsid w:val="007A7AEC"/>
    <w:rsid w:val="008540E5"/>
    <w:rsid w:val="00A350AD"/>
    <w:rsid w:val="00AA5713"/>
    <w:rsid w:val="00AC695C"/>
    <w:rsid w:val="00D879BC"/>
    <w:rsid w:val="00DA2E07"/>
    <w:rsid w:val="00DB51C5"/>
    <w:rsid w:val="00DD0057"/>
    <w:rsid w:val="00E31041"/>
    <w:rsid w:val="00EE739F"/>
    <w:rsid w:val="00F21D41"/>
    <w:rsid w:val="1FFAAB90"/>
    <w:rsid w:val="2FF7A6CA"/>
    <w:rsid w:val="319FF065"/>
    <w:rsid w:val="3BDF0BAF"/>
    <w:rsid w:val="4E7FAEEA"/>
    <w:rsid w:val="5FEF2419"/>
    <w:rsid w:val="7647CED9"/>
    <w:rsid w:val="A598FF7F"/>
    <w:rsid w:val="ABDAB65B"/>
    <w:rsid w:val="AE7DF8CD"/>
    <w:rsid w:val="BF79CB91"/>
    <w:rsid w:val="DD3EA42C"/>
    <w:rsid w:val="EBFD6B51"/>
    <w:rsid w:val="FE7F9B6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uiPriority w:val="99"/>
    <w:rPr>
      <w:sz w:val="18"/>
      <w:szCs w:val="18"/>
    </w:rPr>
  </w:style>
  <w:style w:type="paragraph" w:customStyle="1" w:styleId="8">
    <w:name w:val="正文1"/>
    <w:basedOn w:val="1"/>
    <w:qFormat/>
    <w:uiPriority w:val="0"/>
    <w:pPr>
      <w:widowControl/>
      <w:adjustRightInd w:val="0"/>
      <w:snapToGrid w:val="0"/>
      <w:spacing w:line="500" w:lineRule="exact"/>
      <w:ind w:firstLine="200" w:firstLineChars="200"/>
      <w:textAlignment w:val="baseline"/>
    </w:pPr>
    <w:rPr>
      <w:rFonts w:ascii="仿宋_GB2312" w:eastAsia="仿宋_GB2312"/>
      <w:sz w:val="28"/>
      <w:szCs w:val="28"/>
    </w:rPr>
  </w:style>
  <w:style w:type="character" w:customStyle="1" w:styleId="9">
    <w:name w:val="font21"/>
    <w:basedOn w:val="4"/>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10021</Words>
  <Characters>57124</Characters>
  <Lines>476</Lines>
  <Paragraphs>134</Paragraphs>
  <TotalTime>0</TotalTime>
  <ScaleCrop>false</ScaleCrop>
  <LinksUpToDate>false</LinksUpToDate>
  <CharactersWithSpaces>67011</CharactersWithSpaces>
  <Application>WPS Office 专业版_10.1.0.6171_F1E327BC-269C-435d-A152-05C5408002CA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2019-10-21T10:09:00Z</dcterms:created>
  <dc:creator>li</dc:creator>
  <cp:lastModifiedBy>kylin</cp:lastModifiedBy>
  <dcterms:modified xsi:type="dcterms:W3CDTF">2019-11-07T10:16:54Z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2052-10.1.0.6171</vt:lpwstr>
  </property>
</Properties>
</file>