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11" w:line="219" w:lineRule="auto"/>
        <w:jc w:val="center"/>
        <w:rPr>
          <w:sz w:val="34"/>
          <w:szCs w:val="34"/>
          <w:lang w:eastAsia="zh-CN"/>
        </w:rPr>
      </w:pPr>
      <w:bookmarkStart w:id="0" w:name="_GoBack"/>
      <w:bookmarkEnd w:id="0"/>
      <w:r>
        <w:rPr>
          <w:b/>
          <w:bCs/>
          <w:spacing w:val="-10"/>
          <w:sz w:val="34"/>
          <w:szCs w:val="34"/>
          <w:lang w:eastAsia="zh-CN"/>
        </w:rPr>
        <w:t>附件1:202</w:t>
      </w:r>
      <w:r>
        <w:rPr>
          <w:rFonts w:hint="eastAsia"/>
          <w:b/>
          <w:bCs/>
          <w:spacing w:val="-10"/>
          <w:sz w:val="34"/>
          <w:szCs w:val="34"/>
          <w:lang w:eastAsia="zh-CN"/>
        </w:rPr>
        <w:t>3</w:t>
      </w:r>
      <w:r>
        <w:rPr>
          <w:b/>
          <w:bCs/>
          <w:spacing w:val="-10"/>
          <w:sz w:val="34"/>
          <w:szCs w:val="34"/>
          <w:lang w:eastAsia="zh-CN"/>
        </w:rPr>
        <w:t>年桐城市</w:t>
      </w:r>
      <w:r>
        <w:rPr>
          <w:rFonts w:hint="eastAsia"/>
          <w:b/>
          <w:bCs/>
          <w:spacing w:val="-10"/>
          <w:sz w:val="34"/>
          <w:szCs w:val="34"/>
          <w:lang w:eastAsia="zh-CN"/>
        </w:rPr>
        <w:t>第二批</w:t>
      </w:r>
      <w:r>
        <w:rPr>
          <w:b/>
          <w:bCs/>
          <w:spacing w:val="-10"/>
          <w:sz w:val="34"/>
          <w:szCs w:val="34"/>
          <w:lang w:eastAsia="zh-CN"/>
        </w:rPr>
        <w:t>产业创新引导资金(揭榜挂帅)项目技术需求</w:t>
      </w:r>
    </w:p>
    <w:tbl>
      <w:tblPr>
        <w:tblStyle w:val="10"/>
        <w:tblpPr w:leftFromText="180" w:rightFromText="180" w:vertAnchor="text" w:horzAnchor="page" w:tblpX="1883" w:tblpY="239"/>
        <w:tblOverlap w:val="never"/>
        <w:tblW w:w="128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4"/>
        <w:gridCol w:w="2798"/>
        <w:gridCol w:w="8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534" w:type="dxa"/>
          </w:tcPr>
          <w:p>
            <w:pPr>
              <w:pStyle w:val="11"/>
              <w:spacing w:before="135"/>
              <w:ind w:left="274"/>
            </w:pPr>
            <w:r>
              <w:rPr>
                <w:spacing w:val="3"/>
              </w:rPr>
              <w:t>需求编号</w:t>
            </w:r>
          </w:p>
        </w:tc>
        <w:tc>
          <w:tcPr>
            <w:tcW w:w="2798" w:type="dxa"/>
          </w:tcPr>
          <w:p>
            <w:pPr>
              <w:pStyle w:val="11"/>
              <w:spacing w:before="135"/>
              <w:ind w:left="1041"/>
            </w:pPr>
            <w:r>
              <w:rPr>
                <w:spacing w:val="3"/>
              </w:rPr>
              <w:t>需求名称</w:t>
            </w:r>
          </w:p>
        </w:tc>
        <w:tc>
          <w:tcPr>
            <w:tcW w:w="8558" w:type="dxa"/>
          </w:tcPr>
          <w:p>
            <w:pPr>
              <w:pStyle w:val="11"/>
              <w:spacing w:before="135"/>
              <w:ind w:left="3792"/>
            </w:pPr>
            <w:r>
              <w:rPr>
                <w:spacing w:val="3"/>
              </w:rPr>
              <w:t>需求内容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8" w:hRule="atLeast"/>
        </w:trPr>
        <w:tc>
          <w:tcPr>
            <w:tcW w:w="1534" w:type="dxa"/>
            <w:vAlign w:val="center"/>
          </w:tcPr>
          <w:p>
            <w:pPr>
              <w:pStyle w:val="11"/>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sz w:val="24"/>
                <w:szCs w:val="24"/>
              </w:rPr>
            </w:pPr>
            <w:r>
              <w:rPr>
                <w:rFonts w:hint="eastAsia" w:ascii="仿宋" w:hAnsi="仿宋" w:eastAsia="仿宋" w:cs="仿宋"/>
                <w:sz w:val="24"/>
                <w:szCs w:val="24"/>
              </w:rPr>
              <w:t>TC-202</w:t>
            </w:r>
            <w:r>
              <w:rPr>
                <w:rFonts w:hint="eastAsia" w:ascii="仿宋" w:hAnsi="仿宋" w:eastAsia="仿宋" w:cs="仿宋"/>
                <w:sz w:val="24"/>
                <w:szCs w:val="24"/>
                <w:lang w:eastAsia="zh-CN"/>
              </w:rPr>
              <w:t>3</w:t>
            </w:r>
            <w:r>
              <w:rPr>
                <w:rFonts w:hint="eastAsia" w:ascii="仿宋" w:hAnsi="仿宋" w:eastAsia="仿宋" w:cs="仿宋"/>
                <w:sz w:val="24"/>
                <w:szCs w:val="24"/>
              </w:rPr>
              <w:t>-01</w:t>
            </w:r>
          </w:p>
        </w:tc>
        <w:tc>
          <w:tcPr>
            <w:tcW w:w="2798"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sz w:val="24"/>
                <w:szCs w:val="24"/>
              </w:rPr>
            </w:pPr>
            <w:r>
              <w:rPr>
                <w:rFonts w:hint="eastAsia" w:ascii="仿宋" w:hAnsi="仿宋" w:eastAsia="仿宋" w:cs="仿宋"/>
                <w:sz w:val="24"/>
                <w:szCs w:val="24"/>
              </w:rPr>
              <w:t>同位素分离技术研究</w:t>
            </w:r>
          </w:p>
        </w:tc>
        <w:tc>
          <w:tcPr>
            <w:tcW w:w="8558" w:type="dxa"/>
            <w:vAlign w:val="center"/>
          </w:tcPr>
          <w:p>
            <w:pPr>
              <w:pStyle w:val="6"/>
              <w:rPr>
                <w:rFonts w:hint="eastAsia" w:ascii="仿宋" w:hAnsi="仿宋" w:eastAsia="仿宋" w:cs="仿宋"/>
                <w:sz w:val="24"/>
                <w:szCs w:val="24"/>
                <w:lang w:eastAsia="zh-CN"/>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化工模拟方面：（1）天然CO中共有6种稳定同位素，分别为12C16O、12C17O、12C18O、13C16O、13C17O、13C18O。公司通过扰频器，使CO同位素中碳、氧同位素解耦后重新自由组合，分离得到产品组分13C16O。拟开展扰频器解耦模拟和试验研究，实现降低生产温度，提高同位素分离效率。（2）公司有系列稳定同位素研发的发展规划，但是低温精馏试验装置的造价极其昂贵，而且耗时比较长。希望利用高校优势，在同位素低温精馏模拟仿真方面开展相关研究，拟首先关于10B/11B同位素生产工艺开展相关研究，掌握关键模拟技术，提高模拟的准确度。</w:t>
            </w:r>
          </w:p>
          <w:p>
            <w:pPr>
              <w:pStyle w:val="6"/>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材料防腐方面：公司低温精馏塔放置在地下的深井内，井大约深200米,而井的护壁管采取Q345B的碳钢材料，设计寿命30年，为了提高使用寿命，需解决碳钢管腐蚀问题以及开展深井内狭窄空间腐蚀检测技术和监测手段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534" w:type="dxa"/>
            <w:vAlign w:val="center"/>
          </w:tcPr>
          <w:p>
            <w:pPr>
              <w:pStyle w:val="11"/>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sz w:val="24"/>
                <w:szCs w:val="24"/>
              </w:rPr>
            </w:pPr>
            <w:r>
              <w:rPr>
                <w:rFonts w:hint="eastAsia" w:ascii="仿宋" w:hAnsi="仿宋" w:eastAsia="仿宋" w:cs="仿宋"/>
                <w:spacing w:val="-2"/>
                <w:sz w:val="24"/>
                <w:szCs w:val="24"/>
              </w:rPr>
              <w:t>TC-202</w:t>
            </w:r>
            <w:r>
              <w:rPr>
                <w:rFonts w:hint="eastAsia" w:ascii="仿宋" w:hAnsi="仿宋" w:eastAsia="仿宋" w:cs="仿宋"/>
                <w:spacing w:val="-2"/>
                <w:sz w:val="24"/>
                <w:szCs w:val="24"/>
                <w:lang w:eastAsia="zh-CN"/>
              </w:rPr>
              <w:t>3</w:t>
            </w:r>
            <w:r>
              <w:rPr>
                <w:rFonts w:hint="eastAsia" w:ascii="仿宋" w:hAnsi="仿宋" w:eastAsia="仿宋" w:cs="仿宋"/>
                <w:spacing w:val="-2"/>
                <w:sz w:val="24"/>
                <w:szCs w:val="24"/>
              </w:rPr>
              <w:t>-02</w:t>
            </w:r>
          </w:p>
        </w:tc>
        <w:tc>
          <w:tcPr>
            <w:tcW w:w="2798"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sz w:val="24"/>
                <w:szCs w:val="24"/>
              </w:rPr>
            </w:pPr>
            <w:r>
              <w:rPr>
                <w:rFonts w:hint="eastAsia" w:ascii="仿宋" w:hAnsi="仿宋" w:eastAsia="仿宋" w:cs="仿宋"/>
                <w:sz w:val="24"/>
                <w:szCs w:val="24"/>
              </w:rPr>
              <w:t>浮动打磨动力单元</w:t>
            </w:r>
          </w:p>
        </w:tc>
        <w:tc>
          <w:tcPr>
            <w:tcW w:w="8558" w:type="dxa"/>
            <w:vAlign w:val="center"/>
          </w:tcPr>
          <w:p>
            <w:pPr>
              <w:pStyle w:val="6"/>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目前市场上使用数控平台或机器人安装打磨动力单元（电动或气动）进行自动化打磨作业，由于机械臂和打磨动力单元均是刚性结构，仅适合较规则的毛刺进行打磨，实际上毛刺在由内斜角，交叉孔等位置形成的不规则毛刺形状，同时打磨零件有存在定位误差、焊接变形、浇口拉丝等其他因素。采用数控平台或机器人安装打磨动力单元去毛刺针对不规则毛刺处理时容易出现断刀或者对工件造成损坏等情况发生。</w:t>
            </w:r>
          </w:p>
          <w:p>
            <w:pPr>
              <w:pStyle w:val="6"/>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需要开发一种可以安装在数控平台或机器人上模仿人工打磨、能自动修正打磨力度，且有较多的容差距离的“浮动打磨单元”。需具备以下特性：</w:t>
            </w:r>
          </w:p>
          <w:p>
            <w:pPr>
              <w:pStyle w:val="6"/>
              <w:numPr>
                <w:ilvl w:val="0"/>
                <w:numId w:val="0"/>
              </w:numP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实现轴向5</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10mm的直线浮动量，浮动力可以通过比例阀的方式进行调整控制；</w:t>
            </w:r>
          </w:p>
          <w:p>
            <w:pPr>
              <w:pStyle w:val="6"/>
              <w:numPr>
                <w:ilvl w:val="0"/>
                <w:numId w:val="0"/>
              </w:numP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实现径向3°</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5°的角度浮动量，浮动力通过比例阀的方式进行调整控制；</w:t>
            </w:r>
          </w:p>
          <w:p>
            <w:pPr>
              <w:pStyle w:val="6"/>
              <w:numPr>
                <w:ilvl w:val="0"/>
                <w:numId w:val="0"/>
              </w:numPr>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打磨转距实时监控回馈，实现闭环调整浮动力及异常报警；</w:t>
            </w:r>
          </w:p>
          <w:p>
            <w:pPr>
              <w:pStyle w:val="6"/>
              <w:numPr>
                <w:ilvl w:val="0"/>
                <w:numId w:val="0"/>
              </w:numPr>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浮动打磨单元可实现快速磨料、磨具更换。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8" w:hRule="atLeast"/>
        </w:trPr>
        <w:tc>
          <w:tcPr>
            <w:tcW w:w="1534" w:type="dxa"/>
            <w:vAlign w:val="center"/>
          </w:tcPr>
          <w:p>
            <w:pPr>
              <w:pStyle w:val="11"/>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sz w:val="24"/>
                <w:szCs w:val="24"/>
              </w:rPr>
            </w:pPr>
            <w:r>
              <w:rPr>
                <w:rFonts w:hint="eastAsia" w:ascii="仿宋" w:hAnsi="仿宋" w:eastAsia="仿宋" w:cs="仿宋"/>
                <w:spacing w:val="-1"/>
                <w:sz w:val="24"/>
                <w:szCs w:val="24"/>
              </w:rPr>
              <w:t>TC-202</w:t>
            </w:r>
            <w:r>
              <w:rPr>
                <w:rFonts w:hint="eastAsia" w:ascii="仿宋" w:hAnsi="仿宋" w:eastAsia="仿宋" w:cs="仿宋"/>
                <w:spacing w:val="-1"/>
                <w:sz w:val="24"/>
                <w:szCs w:val="24"/>
                <w:lang w:eastAsia="zh-CN"/>
              </w:rPr>
              <w:t>3</w:t>
            </w:r>
            <w:r>
              <w:rPr>
                <w:rFonts w:hint="eastAsia" w:ascii="仿宋" w:hAnsi="仿宋" w:eastAsia="仿宋" w:cs="仿宋"/>
                <w:spacing w:val="-1"/>
                <w:sz w:val="24"/>
                <w:szCs w:val="24"/>
              </w:rPr>
              <w:t>-03</w:t>
            </w:r>
          </w:p>
        </w:tc>
        <w:tc>
          <w:tcPr>
            <w:tcW w:w="2798"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sz w:val="24"/>
                <w:szCs w:val="24"/>
                <w:lang w:eastAsia="zh-CN"/>
              </w:rPr>
            </w:pPr>
            <w:r>
              <w:rPr>
                <w:rFonts w:hint="eastAsia" w:ascii="仿宋" w:hAnsi="仿宋" w:eastAsia="仿宋" w:cs="仿宋"/>
                <w:sz w:val="24"/>
                <w:szCs w:val="24"/>
                <w:lang w:eastAsia="zh-CN"/>
              </w:rPr>
              <w:t>空气源热泵的能耗指标（cop）提升等</w:t>
            </w:r>
          </w:p>
        </w:tc>
        <w:tc>
          <w:tcPr>
            <w:tcW w:w="8558" w:type="dxa"/>
            <w:vAlign w:val="center"/>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1、空气源热泵的能耗指标（cop）：公司目前生产的空气源热泵主要运用于农业产品的烘干，比如说烟叶、水果、蔬菜、水稻等。目前</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热泵能够提供70°的热空气。在原有COP指标基础上，提升10%。</w:t>
            </w:r>
          </w:p>
          <w:p>
            <w:pPr>
              <w:rPr>
                <w:rFonts w:hint="eastAsia" w:ascii="仿宋" w:hAnsi="仿宋" w:eastAsia="仿宋" w:cs="仿宋"/>
                <w:sz w:val="24"/>
                <w:szCs w:val="24"/>
                <w:lang w:eastAsia="zh-CN"/>
              </w:rPr>
            </w:pPr>
            <w:r>
              <w:rPr>
                <w:rFonts w:hint="eastAsia" w:ascii="仿宋" w:hAnsi="仿宋" w:eastAsia="仿宋" w:cs="仿宋"/>
                <w:sz w:val="24"/>
                <w:szCs w:val="24"/>
                <w:lang w:eastAsia="zh-CN"/>
              </w:rPr>
              <w:t>2、注塑项目：在不影响成品的强度、韧性的前提下，提升再生料的使用比例。</w:t>
            </w:r>
          </w:p>
          <w:p>
            <w:pPr>
              <w:rPr>
                <w:rFonts w:hint="eastAsia" w:ascii="仿宋" w:hAnsi="仿宋" w:eastAsia="仿宋" w:cs="仿宋"/>
                <w:sz w:val="24"/>
                <w:szCs w:val="24"/>
                <w:lang w:eastAsia="zh-CN"/>
              </w:rPr>
            </w:pPr>
            <w:r>
              <w:rPr>
                <w:rFonts w:hint="eastAsia" w:ascii="仿宋" w:hAnsi="仿宋" w:eastAsia="仿宋" w:cs="仿宋"/>
                <w:sz w:val="24"/>
                <w:szCs w:val="24"/>
                <w:lang w:eastAsia="zh-CN"/>
              </w:rPr>
              <w:t>3、智能化物流托盘：跟踪托盘位置，建立物联网信息系统；自动识别托盘是否处于装载状态。</w:t>
            </w:r>
          </w:p>
          <w:p>
            <w:pPr>
              <w:rPr>
                <w:rFonts w:hint="eastAsia" w:ascii="仿宋" w:hAnsi="仿宋" w:eastAsia="仿宋" w:cs="仿宋"/>
                <w:sz w:val="24"/>
                <w:szCs w:val="24"/>
                <w:lang w:eastAsia="zh-CN"/>
              </w:rPr>
            </w:pPr>
            <w:r>
              <w:rPr>
                <w:rFonts w:hint="eastAsia" w:ascii="仿宋" w:hAnsi="仿宋" w:eastAsia="仿宋" w:cs="仿宋"/>
                <w:sz w:val="24"/>
                <w:szCs w:val="24"/>
                <w:lang w:eastAsia="zh-CN"/>
              </w:rPr>
              <w:t>4、智能生产线：优化现在注塑生产线，实现智能化生产。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2" w:hRule="atLeast"/>
        </w:trPr>
        <w:tc>
          <w:tcPr>
            <w:tcW w:w="1534"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before="78"/>
              <w:jc w:val="center"/>
              <w:textAlignment w:val="baseline"/>
              <w:rPr>
                <w:rFonts w:hint="eastAsia" w:ascii="仿宋" w:hAnsi="仿宋" w:eastAsia="仿宋" w:cs="仿宋"/>
                <w:color w:val="000000" w:themeColor="text1"/>
                <w:spacing w:val="-1"/>
                <w:sz w:val="24"/>
                <w:szCs w:val="24"/>
                <w:highlight w:val="none"/>
                <w:lang w:eastAsia="zh-CN"/>
                <w14:textFill>
                  <w14:solidFill>
                    <w14:schemeClr w14:val="tx1"/>
                  </w14:solidFill>
                </w14:textFill>
              </w:rPr>
            </w:pPr>
            <w:r>
              <w:rPr>
                <w:rFonts w:hint="eastAsia" w:ascii="仿宋" w:hAnsi="仿宋" w:eastAsia="仿宋" w:cs="仿宋"/>
                <w:color w:val="000000" w:themeColor="text1"/>
                <w:spacing w:val="-1"/>
                <w:sz w:val="24"/>
                <w:szCs w:val="24"/>
                <w:highlight w:val="none"/>
                <w14:textFill>
                  <w14:solidFill>
                    <w14:schemeClr w14:val="tx1"/>
                  </w14:solidFill>
                </w14:textFill>
              </w:rPr>
              <w:t>TC-202</w:t>
            </w:r>
            <w:r>
              <w:rPr>
                <w:rFonts w:hint="eastAsia" w:ascii="仿宋" w:hAnsi="仿宋" w:eastAsia="仿宋" w:cs="仿宋"/>
                <w:color w:val="000000" w:themeColor="text1"/>
                <w:spacing w:val="-1"/>
                <w:sz w:val="24"/>
                <w:szCs w:val="24"/>
                <w:highlight w:val="none"/>
                <w:lang w:eastAsia="zh-CN"/>
                <w14:textFill>
                  <w14:solidFill>
                    <w14:schemeClr w14:val="tx1"/>
                  </w14:solidFill>
                </w14:textFill>
              </w:rPr>
              <w:t>3</w:t>
            </w:r>
            <w:r>
              <w:rPr>
                <w:rFonts w:hint="eastAsia" w:ascii="仿宋" w:hAnsi="仿宋" w:eastAsia="仿宋" w:cs="仿宋"/>
                <w:color w:val="000000" w:themeColor="text1"/>
                <w:spacing w:val="-1"/>
                <w:sz w:val="24"/>
                <w:szCs w:val="24"/>
                <w:highlight w:val="none"/>
                <w14:textFill>
                  <w14:solidFill>
                    <w14:schemeClr w14:val="tx1"/>
                  </w14:solidFill>
                </w14:textFill>
              </w:rPr>
              <w:t>-0</w:t>
            </w:r>
            <w:r>
              <w:rPr>
                <w:rFonts w:hint="eastAsia" w:ascii="仿宋" w:hAnsi="仿宋" w:eastAsia="仿宋" w:cs="仿宋"/>
                <w:color w:val="000000" w:themeColor="text1"/>
                <w:spacing w:val="-1"/>
                <w:sz w:val="24"/>
                <w:szCs w:val="24"/>
                <w:highlight w:val="none"/>
                <w:lang w:eastAsia="zh-CN"/>
                <w14:textFill>
                  <w14:solidFill>
                    <w14:schemeClr w14:val="tx1"/>
                  </w14:solidFill>
                </w14:textFill>
              </w:rPr>
              <w:t>4</w:t>
            </w:r>
          </w:p>
        </w:tc>
        <w:tc>
          <w:tcPr>
            <w:tcW w:w="2798"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装配式建筑相关技术研发及产业化应用</w:t>
            </w:r>
          </w:p>
        </w:tc>
        <w:tc>
          <w:tcPr>
            <w:tcW w:w="8558" w:type="dxa"/>
            <w:vAlign w:val="center"/>
          </w:tcPr>
          <w:p>
            <w:pPr>
              <w:keepNext w:val="0"/>
              <w:keepLines w:val="0"/>
              <w:pageBreakBefore w:val="0"/>
              <w:widowControl/>
              <w:kinsoku w:val="0"/>
              <w:wordWrap/>
              <w:overflowPunct/>
              <w:topLinePunct w:val="0"/>
              <w:autoSpaceDE w:val="0"/>
              <w:autoSpaceDN w:val="0"/>
              <w:bidi w:val="0"/>
              <w:adjustRightInd w:val="0"/>
              <w:snapToGrid w:val="0"/>
              <w:ind w:firstLine="480" w:firstLineChars="200"/>
              <w:textAlignment w:val="baseline"/>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公司是专业生产钢结构工程企业，轻钢结构技术已经比较成熟，市场饱和，为增加企业核心竞争力，良性发展，企业必须要转型。利用公司现有设施、人员技术等，装配式建筑是一个很好的转型方向。</w:t>
            </w:r>
          </w:p>
          <w:p>
            <w:pPr>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 xml:space="preserve">   公司目前装配式建筑技术方面几乎是零起步，希望高校提供技术、人员支持，为我公司提供先进的装配式建筑标准、工法、生产工艺等，指导公司装配式建筑产业化应用。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7" w:hRule="atLeast"/>
        </w:trPr>
        <w:tc>
          <w:tcPr>
            <w:tcW w:w="1534"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before="78"/>
              <w:jc w:val="center"/>
              <w:textAlignment w:val="baseline"/>
              <w:rPr>
                <w:rFonts w:hint="eastAsia" w:ascii="仿宋" w:hAnsi="仿宋" w:eastAsia="仿宋" w:cs="仿宋"/>
                <w:spacing w:val="-1"/>
                <w:sz w:val="24"/>
                <w:szCs w:val="24"/>
                <w:lang w:eastAsia="zh-CN"/>
              </w:rPr>
            </w:pPr>
            <w:r>
              <w:rPr>
                <w:rFonts w:hint="eastAsia" w:ascii="仿宋" w:hAnsi="仿宋" w:eastAsia="仿宋" w:cs="仿宋"/>
                <w:spacing w:val="-1"/>
                <w:sz w:val="24"/>
                <w:szCs w:val="24"/>
                <w:lang w:eastAsia="zh-CN"/>
              </w:rPr>
              <w:t>T</w:t>
            </w:r>
            <w:r>
              <w:rPr>
                <w:rFonts w:hint="eastAsia" w:ascii="仿宋" w:hAnsi="仿宋" w:eastAsia="仿宋" w:cs="仿宋"/>
                <w:spacing w:val="-1"/>
                <w:sz w:val="24"/>
                <w:szCs w:val="24"/>
              </w:rPr>
              <w:t>C-202</w:t>
            </w:r>
            <w:r>
              <w:rPr>
                <w:rFonts w:hint="eastAsia" w:ascii="仿宋" w:hAnsi="仿宋" w:eastAsia="仿宋" w:cs="仿宋"/>
                <w:spacing w:val="-1"/>
                <w:sz w:val="24"/>
                <w:szCs w:val="24"/>
                <w:lang w:eastAsia="zh-CN"/>
              </w:rPr>
              <w:t>3</w:t>
            </w:r>
            <w:r>
              <w:rPr>
                <w:rFonts w:hint="eastAsia" w:ascii="仿宋" w:hAnsi="仿宋" w:eastAsia="仿宋" w:cs="仿宋"/>
                <w:spacing w:val="-1"/>
                <w:sz w:val="24"/>
                <w:szCs w:val="24"/>
              </w:rPr>
              <w:t>-05</w:t>
            </w:r>
          </w:p>
        </w:tc>
        <w:tc>
          <w:tcPr>
            <w:tcW w:w="2798"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eastAsia="zh-CN"/>
              </w:rPr>
              <w:t>应急救援设备的研发与市场营销</w:t>
            </w:r>
          </w:p>
        </w:tc>
        <w:tc>
          <w:tcPr>
            <w:tcW w:w="8558" w:type="dxa"/>
            <w:vAlign w:val="center"/>
          </w:tcPr>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公司主营应急救险车辆，主要应用于市政、供电、供水、燃气管网和自然灾害等情况的应急救援抢险工作。在应急救援现场，各系列救援车除提供所必需的抢修抢险设备、工具外，还需要提供施工现场所必需的电源。目前市场上燃油救险车配备电源的主要形式是在车厢中装配发电机组，而发电机组的笨重既增加了车辆自重，也使车厢空间不能得到有效利用。</w:t>
            </w:r>
          </w:p>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公司希望开发救险车应急充电系统，进行供电系统、智能控制系统的相关技术研发，解决电力不足、电力不稳、智能化程度不高等问题。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7" w:hRule="atLeast"/>
        </w:trPr>
        <w:tc>
          <w:tcPr>
            <w:tcW w:w="1534" w:type="dxa"/>
            <w:vAlign w:val="center"/>
          </w:tcPr>
          <w:p>
            <w:pPr>
              <w:pStyle w:val="11"/>
              <w:keepNext w:val="0"/>
              <w:keepLines w:val="0"/>
              <w:pageBreakBefore w:val="0"/>
              <w:widowControl/>
              <w:kinsoku w:val="0"/>
              <w:wordWrap/>
              <w:overflowPunct/>
              <w:topLinePunct w:val="0"/>
              <w:autoSpaceDE w:val="0"/>
              <w:autoSpaceDN w:val="0"/>
              <w:bidi w:val="0"/>
              <w:adjustRightInd w:val="0"/>
              <w:snapToGrid w:val="0"/>
              <w:spacing w:before="78"/>
              <w:jc w:val="center"/>
              <w:textAlignment w:val="baseline"/>
              <w:rPr>
                <w:rFonts w:hint="eastAsia" w:ascii="仿宋" w:hAnsi="仿宋" w:eastAsia="仿宋" w:cs="仿宋"/>
                <w:spacing w:val="-1"/>
                <w:sz w:val="24"/>
                <w:szCs w:val="24"/>
                <w:lang w:eastAsia="zh-CN"/>
              </w:rPr>
            </w:pPr>
            <w:r>
              <w:rPr>
                <w:rFonts w:hint="eastAsia" w:ascii="仿宋" w:hAnsi="仿宋" w:eastAsia="仿宋" w:cs="仿宋"/>
                <w:spacing w:val="-1"/>
                <w:sz w:val="24"/>
                <w:szCs w:val="24"/>
              </w:rPr>
              <w:t>TC-</w:t>
            </w:r>
            <w:r>
              <w:rPr>
                <w:rFonts w:hint="eastAsia" w:ascii="仿宋" w:hAnsi="仿宋" w:eastAsia="仿宋" w:cs="仿宋"/>
                <w:spacing w:val="-1"/>
                <w:sz w:val="24"/>
                <w:szCs w:val="24"/>
                <w:lang w:eastAsia="zh-CN"/>
              </w:rPr>
              <w:t>2023</w:t>
            </w:r>
            <w:r>
              <w:rPr>
                <w:rFonts w:hint="eastAsia" w:ascii="仿宋" w:hAnsi="仿宋" w:eastAsia="仿宋" w:cs="仿宋"/>
                <w:spacing w:val="-1"/>
                <w:sz w:val="24"/>
                <w:szCs w:val="24"/>
              </w:rPr>
              <w:t>-06</w:t>
            </w:r>
          </w:p>
        </w:tc>
        <w:tc>
          <w:tcPr>
            <w:tcW w:w="2798"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sz w:val="24"/>
                <w:szCs w:val="24"/>
                <w:lang w:eastAsia="zh-CN"/>
              </w:rPr>
            </w:pPr>
            <w:r>
              <w:rPr>
                <w:rFonts w:hint="eastAsia" w:ascii="仿宋" w:hAnsi="仿宋" w:eastAsia="仿宋" w:cs="仿宋"/>
                <w:sz w:val="24"/>
                <w:szCs w:val="24"/>
                <w:lang w:eastAsia="zh-CN"/>
              </w:rPr>
              <w:t>鼻声反射、嗅觉功能的研发</w:t>
            </w:r>
          </w:p>
        </w:tc>
        <w:tc>
          <w:tcPr>
            <w:tcW w:w="8558" w:type="dxa"/>
            <w:vAlign w:val="center"/>
          </w:tcPr>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公司开发了一款鼻阻力测量仪，目前国内市场上使用的鼻阻力测量设备品牌有德国ATOMS和英国GM，其配备的半面罩和鼻管适配器为循环使用，在不同用户之间使用存在交叉感染的风险，医护人员在用手往受检者鼻孔里塞的时候也容易沾上细菌。同时，医生在对下一个患者进行检测前需要对患者接触的部分进行消毒处理，操作不方便，比较费时费力。公司设计了一款“挡位式”测试结构，测试时将一次性鼻阻力耗材与鼻腔接触好后，通过拨动手柄上的挡位，可以轻松切换进行左侧鼻阻力、右侧鼻阻力及双侧鼻流量测试，并且有指示灯引导操作，解决传统鼻阻力测试每次切换佩戴面罩和压力导管的复杂过程，大大简化了操作流程，缩短测量时间。</w:t>
            </w:r>
          </w:p>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目前开发的鼻阻力测量仪，其取压传感器在鼻声反射、嗅觉功能方面的检查还不能进行，寻求相关解决方案。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7" w:hRule="atLeast"/>
        </w:trPr>
        <w:tc>
          <w:tcPr>
            <w:tcW w:w="1534" w:type="dxa"/>
            <w:vAlign w:val="center"/>
          </w:tcPr>
          <w:p>
            <w:pPr>
              <w:pStyle w:val="11"/>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spacing w:val="-1"/>
                <w:sz w:val="24"/>
                <w:szCs w:val="24"/>
              </w:rPr>
            </w:pPr>
            <w:r>
              <w:rPr>
                <w:rFonts w:hint="eastAsia" w:ascii="仿宋" w:hAnsi="仿宋" w:eastAsia="仿宋" w:cs="仿宋"/>
                <w:spacing w:val="-1"/>
                <w:sz w:val="24"/>
                <w:szCs w:val="24"/>
              </w:rPr>
              <w:t>TC-</w:t>
            </w:r>
            <w:r>
              <w:rPr>
                <w:rFonts w:hint="eastAsia" w:ascii="仿宋" w:hAnsi="仿宋" w:eastAsia="仿宋" w:cs="仿宋"/>
                <w:spacing w:val="-1"/>
                <w:sz w:val="24"/>
                <w:szCs w:val="24"/>
                <w:lang w:eastAsia="zh-CN"/>
              </w:rPr>
              <w:t>2023</w:t>
            </w:r>
            <w:r>
              <w:rPr>
                <w:rFonts w:hint="eastAsia" w:ascii="仿宋" w:hAnsi="仿宋" w:eastAsia="仿宋" w:cs="仿宋"/>
                <w:spacing w:val="-1"/>
                <w:sz w:val="24"/>
                <w:szCs w:val="24"/>
              </w:rPr>
              <w:t>-07</w:t>
            </w:r>
          </w:p>
        </w:tc>
        <w:tc>
          <w:tcPr>
            <w:tcW w:w="2798"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sz w:val="24"/>
                <w:szCs w:val="24"/>
                <w:lang w:eastAsia="zh-CN"/>
              </w:rPr>
            </w:pPr>
            <w:r>
              <w:rPr>
                <w:rFonts w:hint="eastAsia" w:ascii="仿宋" w:hAnsi="仿宋" w:eastAsia="仿宋" w:cs="仿宋"/>
                <w:sz w:val="24"/>
                <w:szCs w:val="24"/>
                <w:lang w:eastAsia="zh-CN"/>
              </w:rPr>
              <w:t>镀膜过程保护高性能胶黏剂</w:t>
            </w:r>
          </w:p>
        </w:tc>
        <w:tc>
          <w:tcPr>
            <w:tcW w:w="8558" w:type="dxa"/>
            <w:vAlign w:val="center"/>
          </w:tcPr>
          <w:p>
            <w:pPr>
              <w:pStyle w:val="6"/>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公司开发主要应用于汽车车窗玻璃的镀膜保护装置。具体要求如下：</w:t>
            </w:r>
          </w:p>
          <w:p>
            <w:pPr>
              <w:pStyle w:val="6"/>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ascii="仿宋" w:hAnsi="仿宋" w:eastAsia="仿宋" w:cs="仿宋"/>
                <w:sz w:val="24"/>
                <w:szCs w:val="24"/>
                <w:lang w:eastAsia="zh-CN"/>
              </w:rPr>
            </w:pPr>
            <w:r>
              <w:rPr>
                <w:rFonts w:hint="eastAsia" w:ascii="仿宋" w:hAnsi="仿宋" w:eastAsia="仿宋" w:cs="仿宋"/>
                <w:sz w:val="24"/>
                <w:szCs w:val="24"/>
                <w:lang w:eastAsia="zh-CN"/>
              </w:rPr>
              <w:t>1、玻璃油墨区域做胶水丝印涂布（胶水流动性不能太大，超出丝印位置）</w:t>
            </w:r>
          </w:p>
          <w:p>
            <w:pPr>
              <w:pStyle w:val="6"/>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ascii="仿宋" w:hAnsi="仿宋" w:eastAsia="仿宋" w:cs="仿宋"/>
                <w:sz w:val="24"/>
                <w:szCs w:val="24"/>
                <w:lang w:eastAsia="zh-CN"/>
              </w:rPr>
            </w:pPr>
            <w:r>
              <w:rPr>
                <w:rFonts w:hint="eastAsia" w:ascii="仿宋" w:hAnsi="仿宋" w:eastAsia="仿宋" w:cs="仿宋"/>
                <w:sz w:val="24"/>
                <w:szCs w:val="24"/>
                <w:lang w:eastAsia="zh-CN"/>
              </w:rPr>
              <w:t>2、过烘箱干燥（干燥温度：100-200℃* 1-3mimn，具体依胶黏剂需求可调）</w:t>
            </w:r>
          </w:p>
          <w:p>
            <w:pPr>
              <w:pStyle w:val="6"/>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3、镀膜：160-180℃*30min ，胶层不能脱离原先丝印保护的油墨位置 </w:t>
            </w:r>
          </w:p>
          <w:p>
            <w:pPr>
              <w:keepNext w:val="0"/>
              <w:keepLines w:val="0"/>
              <w:pageBreakBefore w:val="0"/>
              <w:widowControl/>
              <w:kinsoku w:val="0"/>
              <w:wordWrap/>
              <w:overflowPunct/>
              <w:topLinePunct w:val="0"/>
              <w:autoSpaceDE w:val="0"/>
              <w:autoSpaceDN w:val="0"/>
              <w:bidi w:val="0"/>
              <w:adjustRightInd w:val="0"/>
              <w:snapToGrid w:val="0"/>
              <w:ind w:firstLine="0" w:firstLineChars="0"/>
              <w:jc w:val="both"/>
              <w:textAlignment w:val="baseline"/>
              <w:rPr>
                <w:rFonts w:hint="eastAsia" w:ascii="仿宋" w:hAnsi="仿宋" w:eastAsia="仿宋" w:cs="仿宋"/>
                <w:sz w:val="24"/>
                <w:szCs w:val="24"/>
                <w:lang w:eastAsia="zh-CN"/>
              </w:rPr>
            </w:pPr>
            <w:r>
              <w:rPr>
                <w:rFonts w:hint="eastAsia" w:ascii="仿宋" w:hAnsi="仿宋" w:eastAsia="仿宋" w:cs="仿宋"/>
                <w:snapToGrid w:val="0"/>
                <w:color w:val="000000"/>
                <w:sz w:val="24"/>
                <w:szCs w:val="24"/>
                <w:lang w:val="en-US" w:eastAsia="zh-CN" w:bidi="ar-SA"/>
              </w:rPr>
              <w:t>4、</w:t>
            </w:r>
            <w:r>
              <w:rPr>
                <w:rFonts w:hint="eastAsia" w:ascii="仿宋" w:hAnsi="仿宋" w:eastAsia="仿宋" w:cs="仿宋"/>
                <w:sz w:val="24"/>
                <w:szCs w:val="24"/>
                <w:lang w:eastAsia="zh-CN"/>
              </w:rPr>
              <w:t>热弯：600℃* 15s（胶层需要在这个环节完全挥发掉）</w:t>
            </w:r>
          </w:p>
        </w:tc>
      </w:tr>
    </w:tbl>
    <w:p>
      <w:pPr>
        <w:spacing w:before="163"/>
        <w:rPr>
          <w:rFonts w:hint="eastAsia" w:ascii="仿宋" w:hAnsi="仿宋" w:eastAsia="仿宋" w:cs="仿宋"/>
          <w:sz w:val="24"/>
          <w:szCs w:val="24"/>
          <w:lang w:eastAsia="zh-CN"/>
        </w:rPr>
      </w:pPr>
    </w:p>
    <w:tbl>
      <w:tblPr>
        <w:tblStyle w:val="10"/>
        <w:tblW w:w="12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4"/>
        <w:gridCol w:w="2798"/>
        <w:gridCol w:w="8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jc w:val="center"/>
        </w:trPr>
        <w:tc>
          <w:tcPr>
            <w:tcW w:w="1534" w:type="dxa"/>
            <w:vAlign w:val="center"/>
          </w:tcPr>
          <w:p>
            <w:pPr>
              <w:pStyle w:val="11"/>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sz w:val="24"/>
                <w:szCs w:val="24"/>
              </w:rPr>
            </w:pPr>
            <w:r>
              <w:rPr>
                <w:rFonts w:hint="eastAsia" w:ascii="仿宋" w:hAnsi="仿宋" w:eastAsia="仿宋" w:cs="仿宋"/>
                <w:spacing w:val="-1"/>
                <w:sz w:val="24"/>
                <w:szCs w:val="24"/>
              </w:rPr>
              <w:t>TC-</w:t>
            </w:r>
            <w:r>
              <w:rPr>
                <w:rFonts w:hint="eastAsia" w:ascii="仿宋" w:hAnsi="仿宋" w:eastAsia="仿宋" w:cs="仿宋"/>
                <w:spacing w:val="-1"/>
                <w:sz w:val="24"/>
                <w:szCs w:val="24"/>
                <w:lang w:eastAsia="zh-CN"/>
              </w:rPr>
              <w:t>2023</w:t>
            </w:r>
            <w:r>
              <w:rPr>
                <w:rFonts w:hint="eastAsia" w:ascii="仿宋" w:hAnsi="仿宋" w:eastAsia="仿宋" w:cs="仿宋"/>
                <w:spacing w:val="-1"/>
                <w:sz w:val="24"/>
                <w:szCs w:val="24"/>
              </w:rPr>
              <w:t>-08</w:t>
            </w:r>
          </w:p>
        </w:tc>
        <w:tc>
          <w:tcPr>
            <w:tcW w:w="2798"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sz w:val="24"/>
                <w:szCs w:val="24"/>
                <w:lang w:eastAsia="zh-CN"/>
              </w:rPr>
            </w:pPr>
            <w:r>
              <w:rPr>
                <w:rFonts w:hint="eastAsia" w:ascii="仿宋" w:hAnsi="仿宋" w:eastAsia="仿宋" w:cs="仿宋"/>
                <w:sz w:val="24"/>
                <w:szCs w:val="24"/>
                <w:lang w:eastAsia="zh-CN"/>
              </w:rPr>
              <w:t>碳化硼领域的新产品开发</w:t>
            </w:r>
          </w:p>
        </w:tc>
        <w:tc>
          <w:tcPr>
            <w:tcW w:w="8538" w:type="dxa"/>
            <w:vAlign w:val="center"/>
          </w:tcPr>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公司目前主要生产碳化硼喷嘴，用于喷砂机喷枪，应用于表面处理行业。目前产品单一，碳化硼，硬度高，耐磨性好，加工难度大，目前只局限于生产一些简单的造型，现在急需研发异型产品，或碳化硼其他领域的新产品，完成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jc w:val="center"/>
        </w:trPr>
        <w:tc>
          <w:tcPr>
            <w:tcW w:w="1534" w:type="dxa"/>
            <w:vAlign w:val="center"/>
          </w:tcPr>
          <w:p>
            <w:pPr>
              <w:pStyle w:val="11"/>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sz w:val="24"/>
                <w:szCs w:val="24"/>
              </w:rPr>
            </w:pPr>
            <w:r>
              <w:rPr>
                <w:rFonts w:hint="eastAsia" w:ascii="仿宋" w:hAnsi="仿宋" w:eastAsia="仿宋" w:cs="仿宋"/>
                <w:spacing w:val="-1"/>
                <w:sz w:val="24"/>
                <w:szCs w:val="24"/>
              </w:rPr>
              <w:t>TC-</w:t>
            </w:r>
            <w:r>
              <w:rPr>
                <w:rFonts w:hint="eastAsia" w:ascii="仿宋" w:hAnsi="仿宋" w:eastAsia="仿宋" w:cs="仿宋"/>
                <w:spacing w:val="-1"/>
                <w:sz w:val="24"/>
                <w:szCs w:val="24"/>
                <w:lang w:eastAsia="zh-CN"/>
              </w:rPr>
              <w:t>2023</w:t>
            </w:r>
            <w:r>
              <w:rPr>
                <w:rFonts w:hint="eastAsia" w:ascii="仿宋" w:hAnsi="仿宋" w:eastAsia="仿宋" w:cs="仿宋"/>
                <w:spacing w:val="-1"/>
                <w:sz w:val="24"/>
                <w:szCs w:val="24"/>
              </w:rPr>
              <w:t>-0</w:t>
            </w:r>
            <w:r>
              <w:rPr>
                <w:rFonts w:hint="eastAsia" w:ascii="仿宋" w:hAnsi="仿宋" w:eastAsia="仿宋" w:cs="仿宋"/>
                <w:spacing w:val="-1"/>
                <w:sz w:val="24"/>
                <w:szCs w:val="24"/>
                <w:lang w:eastAsia="zh-CN"/>
              </w:rPr>
              <w:t>9</w:t>
            </w:r>
          </w:p>
        </w:tc>
        <w:tc>
          <w:tcPr>
            <w:tcW w:w="27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sz w:val="24"/>
                <w:szCs w:val="24"/>
                <w:lang w:eastAsia="zh-CN"/>
              </w:rPr>
            </w:pPr>
            <w:r>
              <w:rPr>
                <w:rFonts w:hint="eastAsia" w:ascii="仿宋" w:hAnsi="仿宋" w:eastAsia="仿宋" w:cs="仿宋"/>
                <w:sz w:val="24"/>
                <w:szCs w:val="24"/>
                <w:lang w:eastAsia="zh-CN"/>
              </w:rPr>
              <w:t>烟包、条盒外包装BOPP膜整形改善</w:t>
            </w:r>
          </w:p>
        </w:tc>
        <w:tc>
          <w:tcPr>
            <w:tcW w:w="8538" w:type="dxa"/>
            <w:vAlign w:val="center"/>
          </w:tcPr>
          <w:p>
            <w:pPr>
              <w:keepNext w:val="0"/>
              <w:keepLines w:val="0"/>
              <w:pageBreakBefore w:val="0"/>
              <w:widowControl/>
              <w:kinsoku w:val="0"/>
              <w:wordWrap/>
              <w:overflowPunct/>
              <w:topLinePunct w:val="0"/>
              <w:autoSpaceDE w:val="0"/>
              <w:autoSpaceDN w:val="0"/>
              <w:bidi w:val="0"/>
              <w:adjustRightInd w:val="0"/>
              <w:snapToGrid w:val="0"/>
              <w:ind w:firstLine="480" w:firstLineChars="200"/>
              <w:textAlignment w:val="baseline"/>
              <w:rPr>
                <w:rFonts w:hint="eastAsia" w:ascii="仿宋" w:hAnsi="仿宋" w:eastAsia="仿宋" w:cs="仿宋"/>
                <w:sz w:val="24"/>
                <w:szCs w:val="24"/>
                <w:lang w:eastAsia="zh-CN"/>
              </w:rPr>
            </w:pPr>
            <w:r>
              <w:rPr>
                <w:rFonts w:hint="eastAsia" w:ascii="仿宋" w:hAnsi="仿宋" w:eastAsia="仿宋" w:cs="仿宋"/>
                <w:sz w:val="24"/>
                <w:szCs w:val="24"/>
                <w:lang w:eastAsia="zh-CN"/>
              </w:rPr>
              <w:t>目前烟草包装行业对烟包及条盒外包装质量要求较高，在烟包、条盒完成外层BOPP薄膜包装后，通过加热板对薄膜进行机械式熨烫以达到外观美观要求。</w:t>
            </w:r>
          </w:p>
          <w:p>
            <w:pPr>
              <w:keepNext w:val="0"/>
              <w:keepLines w:val="0"/>
              <w:pageBreakBefore w:val="0"/>
              <w:widowControl/>
              <w:kinsoku w:val="0"/>
              <w:wordWrap/>
              <w:overflowPunct/>
              <w:topLinePunct w:val="0"/>
              <w:autoSpaceDE w:val="0"/>
              <w:autoSpaceDN w:val="0"/>
              <w:bidi w:val="0"/>
              <w:adjustRightInd w:val="0"/>
              <w:snapToGrid w:val="0"/>
              <w:ind w:firstLine="480" w:firstLineChars="200"/>
              <w:textAlignment w:val="baseline"/>
              <w:rPr>
                <w:rFonts w:hint="eastAsia" w:ascii="仿宋" w:hAnsi="仿宋" w:eastAsia="仿宋" w:cs="仿宋"/>
                <w:sz w:val="24"/>
                <w:szCs w:val="24"/>
                <w:lang w:eastAsia="zh-CN"/>
              </w:rPr>
            </w:pPr>
            <w:r>
              <w:rPr>
                <w:rFonts w:hint="eastAsia" w:ascii="仿宋" w:hAnsi="仿宋" w:eastAsia="仿宋" w:cs="仿宋"/>
                <w:sz w:val="24"/>
                <w:szCs w:val="24"/>
                <w:lang w:eastAsia="zh-CN"/>
              </w:rPr>
              <w:t>针对高分子材料（BOPP）特性，改进现有加热烫熨机械结构较复杂，提高生产效率；同时，运用新加热技术对烟包、条盒外包BOPP膜进行整形，达到外观平整、无皱褶。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8" w:hRule="atLeast"/>
          <w:jc w:val="center"/>
        </w:trPr>
        <w:tc>
          <w:tcPr>
            <w:tcW w:w="1534" w:type="dxa"/>
            <w:vAlign w:val="center"/>
          </w:tcPr>
          <w:p>
            <w:pPr>
              <w:pStyle w:val="11"/>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sz w:val="24"/>
                <w:szCs w:val="24"/>
              </w:rPr>
            </w:pPr>
            <w:r>
              <w:rPr>
                <w:rFonts w:hint="eastAsia" w:ascii="仿宋" w:hAnsi="仿宋" w:eastAsia="仿宋" w:cs="仿宋"/>
                <w:spacing w:val="-1"/>
                <w:sz w:val="24"/>
                <w:szCs w:val="24"/>
              </w:rPr>
              <w:t>TC-</w:t>
            </w:r>
            <w:r>
              <w:rPr>
                <w:rFonts w:hint="eastAsia" w:ascii="仿宋" w:hAnsi="仿宋" w:eastAsia="仿宋" w:cs="仿宋"/>
                <w:spacing w:val="-1"/>
                <w:sz w:val="24"/>
                <w:szCs w:val="24"/>
                <w:lang w:eastAsia="zh-CN"/>
              </w:rPr>
              <w:t>2023</w:t>
            </w:r>
            <w:r>
              <w:rPr>
                <w:rFonts w:hint="eastAsia" w:ascii="仿宋" w:hAnsi="仿宋" w:eastAsia="仿宋" w:cs="仿宋"/>
                <w:spacing w:val="-1"/>
                <w:sz w:val="24"/>
                <w:szCs w:val="24"/>
              </w:rPr>
              <w:t>-</w:t>
            </w:r>
            <w:r>
              <w:rPr>
                <w:rFonts w:hint="eastAsia" w:ascii="仿宋" w:hAnsi="仿宋" w:eastAsia="仿宋" w:cs="仿宋"/>
                <w:spacing w:val="-1"/>
                <w:sz w:val="24"/>
                <w:szCs w:val="24"/>
                <w:lang w:eastAsia="zh-CN"/>
              </w:rPr>
              <w:t>10</w:t>
            </w:r>
          </w:p>
        </w:tc>
        <w:tc>
          <w:tcPr>
            <w:tcW w:w="2798"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sz w:val="24"/>
                <w:szCs w:val="24"/>
                <w:lang w:eastAsia="zh-CN"/>
              </w:rPr>
            </w:pPr>
            <w:r>
              <w:rPr>
                <w:rFonts w:hint="eastAsia" w:ascii="仿宋" w:hAnsi="仿宋" w:eastAsia="仿宋" w:cs="仿宋"/>
                <w:sz w:val="24"/>
                <w:szCs w:val="24"/>
                <w:lang w:eastAsia="zh-CN"/>
              </w:rPr>
              <w:t>机器人焊接免示教软件开发</w:t>
            </w:r>
          </w:p>
        </w:tc>
        <w:tc>
          <w:tcPr>
            <w:tcW w:w="8538" w:type="dxa"/>
            <w:vAlign w:val="center"/>
          </w:tcPr>
          <w:p>
            <w:pPr>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现有机器人行走轨迹是采用示教器面板人工操作，导致单件非标件、复杂焊件的示教输入辅助时间较长，开发一款免示教软件，重点解决提高机器人工作效率，提高焊接质量，节约人力资源。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2" w:hRule="atLeast"/>
          <w:jc w:val="center"/>
        </w:trPr>
        <w:tc>
          <w:tcPr>
            <w:tcW w:w="1534" w:type="dxa"/>
            <w:vAlign w:val="center"/>
          </w:tcPr>
          <w:p>
            <w:pPr>
              <w:pStyle w:val="11"/>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spacing w:val="-1"/>
                <w:sz w:val="24"/>
                <w:szCs w:val="24"/>
                <w:lang w:eastAsia="zh-CN"/>
              </w:rPr>
            </w:pPr>
            <w:r>
              <w:rPr>
                <w:rFonts w:hint="eastAsia" w:ascii="仿宋" w:hAnsi="仿宋" w:eastAsia="仿宋" w:cs="仿宋"/>
                <w:spacing w:val="-1"/>
                <w:sz w:val="24"/>
                <w:szCs w:val="24"/>
              </w:rPr>
              <w:t>TC-</w:t>
            </w:r>
            <w:r>
              <w:rPr>
                <w:rFonts w:hint="eastAsia" w:ascii="仿宋" w:hAnsi="仿宋" w:eastAsia="仿宋" w:cs="仿宋"/>
                <w:spacing w:val="-1"/>
                <w:sz w:val="24"/>
                <w:szCs w:val="24"/>
                <w:lang w:eastAsia="zh-CN"/>
              </w:rPr>
              <w:t>2023</w:t>
            </w:r>
            <w:r>
              <w:rPr>
                <w:rFonts w:hint="eastAsia" w:ascii="仿宋" w:hAnsi="仿宋" w:eastAsia="仿宋" w:cs="仿宋"/>
                <w:spacing w:val="-1"/>
                <w:sz w:val="24"/>
                <w:szCs w:val="24"/>
              </w:rPr>
              <w:t>-</w:t>
            </w:r>
            <w:r>
              <w:rPr>
                <w:rFonts w:hint="eastAsia" w:ascii="仿宋" w:hAnsi="仿宋" w:eastAsia="仿宋" w:cs="仿宋"/>
                <w:spacing w:val="-1"/>
                <w:sz w:val="24"/>
                <w:szCs w:val="24"/>
                <w:lang w:eastAsia="zh-CN"/>
              </w:rPr>
              <w:t>11</w:t>
            </w:r>
          </w:p>
        </w:tc>
        <w:tc>
          <w:tcPr>
            <w:tcW w:w="2798"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sz w:val="24"/>
                <w:szCs w:val="24"/>
                <w:lang w:eastAsia="zh-CN"/>
              </w:rPr>
            </w:pPr>
            <w:r>
              <w:rPr>
                <w:rFonts w:hint="eastAsia" w:ascii="仿宋" w:hAnsi="仿宋" w:eastAsia="仿宋" w:cs="仿宋"/>
                <w:sz w:val="24"/>
                <w:szCs w:val="24"/>
                <w:lang w:eastAsia="zh-CN"/>
              </w:rPr>
              <w:t>城市轨道交通受电弓用铜滑板的生产制造及销售</w:t>
            </w:r>
          </w:p>
        </w:tc>
        <w:tc>
          <w:tcPr>
            <w:tcW w:w="8538" w:type="dxa"/>
            <w:vAlign w:val="center"/>
          </w:tcPr>
          <w:p>
            <w:pPr>
              <w:ind w:firstLine="480" w:firstLineChars="20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轨道交通城际铁路受电弓滑板国产化替代项目。轨道交通受电弓用铜滑板材料的配方研发，相关材料加工工艺条件测试方案，协助解决碳基、铜基轨道交通受电弓材料与制备技术转化工作。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2" w:hRule="atLeast"/>
          <w:jc w:val="center"/>
        </w:trPr>
        <w:tc>
          <w:tcPr>
            <w:tcW w:w="1534" w:type="dxa"/>
            <w:vAlign w:val="center"/>
          </w:tcPr>
          <w:p>
            <w:pPr>
              <w:pStyle w:val="11"/>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spacing w:val="-1"/>
                <w:sz w:val="24"/>
                <w:szCs w:val="24"/>
                <w:lang w:eastAsia="zh-CN"/>
              </w:rPr>
            </w:pPr>
            <w:r>
              <w:rPr>
                <w:rFonts w:hint="eastAsia" w:ascii="仿宋" w:hAnsi="仿宋" w:eastAsia="仿宋" w:cs="仿宋"/>
                <w:spacing w:val="-1"/>
                <w:sz w:val="24"/>
                <w:szCs w:val="24"/>
              </w:rPr>
              <w:t>TC-</w:t>
            </w:r>
            <w:r>
              <w:rPr>
                <w:rFonts w:hint="eastAsia" w:ascii="仿宋" w:hAnsi="仿宋" w:eastAsia="仿宋" w:cs="仿宋"/>
                <w:spacing w:val="-1"/>
                <w:sz w:val="24"/>
                <w:szCs w:val="24"/>
                <w:lang w:eastAsia="zh-CN"/>
              </w:rPr>
              <w:t>2023</w:t>
            </w:r>
            <w:r>
              <w:rPr>
                <w:rFonts w:hint="eastAsia" w:ascii="仿宋" w:hAnsi="仿宋" w:eastAsia="仿宋" w:cs="仿宋"/>
                <w:spacing w:val="-1"/>
                <w:sz w:val="24"/>
                <w:szCs w:val="24"/>
              </w:rPr>
              <w:t>-</w:t>
            </w:r>
            <w:r>
              <w:rPr>
                <w:rFonts w:hint="eastAsia" w:ascii="仿宋" w:hAnsi="仿宋" w:eastAsia="仿宋" w:cs="仿宋"/>
                <w:spacing w:val="-1"/>
                <w:sz w:val="24"/>
                <w:szCs w:val="24"/>
                <w:lang w:eastAsia="zh-CN"/>
              </w:rPr>
              <w:t>12</w:t>
            </w:r>
          </w:p>
        </w:tc>
        <w:tc>
          <w:tcPr>
            <w:tcW w:w="2798" w:type="dxa"/>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eastAsia" w:ascii="仿宋" w:hAnsi="仿宋" w:eastAsia="仿宋" w:cs="仿宋"/>
                <w:sz w:val="24"/>
                <w:szCs w:val="24"/>
                <w:lang w:eastAsia="zh-CN"/>
              </w:rPr>
            </w:pPr>
            <w:r>
              <w:rPr>
                <w:rFonts w:hint="eastAsia" w:ascii="仿宋" w:hAnsi="仿宋" w:eastAsia="仿宋" w:cs="仿宋"/>
                <w:sz w:val="24"/>
                <w:szCs w:val="24"/>
                <w:lang w:eastAsia="zh-CN"/>
              </w:rPr>
              <w:t>高阻隔热封膜的制造技术</w:t>
            </w:r>
          </w:p>
        </w:tc>
        <w:tc>
          <w:tcPr>
            <w:tcW w:w="8538" w:type="dxa"/>
            <w:vAlign w:val="center"/>
          </w:tcPr>
          <w:p>
            <w:pPr>
              <w:ind w:firstLine="480" w:firstLineChars="20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企业产品主要应用于高阻隔包装场景，目前研发了五层共挤膜配方，采用五层共挤薄膜吹塑机组制造低温热封膜、易揭膜、易撕膜、增强增韧等系列薄膜，但该系列薄膜的阻隔性能较差，需要通过赋予现有的非阻隔第五层共挤膜外膜（或中间层）阻隔性能，改变采用多层薄膜复合的方式达到阻隔的目的，通过分子设计和原料创新，研发高阻隔热封膜的制造技术。</w:t>
            </w:r>
          </w:p>
          <w:p>
            <w:pP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外观不存在有碍使用的气泡、穿孔、水纹、条纹、爆筋、塑化不良、鱼眼、僵块等瑕疵。</w:t>
            </w:r>
          </w:p>
          <w:p>
            <w:pP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拉伸强度</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 xml:space="preserve">纵向 </w:t>
            </w:r>
            <w:r>
              <w:rPr>
                <w:rFonts w:hint="eastAsia" w:ascii="仿宋" w:hAnsi="仿宋" w:eastAsia="仿宋" w:cs="仿宋"/>
                <w:sz w:val="24"/>
                <w:szCs w:val="24"/>
                <w:lang w:eastAsia="zh-CN"/>
              </w:rPr>
              <w:sym w:font="Symbol" w:char="F0B3"/>
            </w:r>
            <w:r>
              <w:rPr>
                <w:rFonts w:hint="eastAsia" w:ascii="仿宋" w:hAnsi="仿宋" w:eastAsia="仿宋" w:cs="仿宋"/>
                <w:sz w:val="24"/>
                <w:szCs w:val="24"/>
                <w:lang w:eastAsia="zh-CN"/>
              </w:rPr>
              <w:t xml:space="preserve"> 10 MPa；横向 </w:t>
            </w:r>
            <w:r>
              <w:rPr>
                <w:rFonts w:hint="eastAsia" w:ascii="仿宋" w:hAnsi="仿宋" w:eastAsia="仿宋" w:cs="仿宋"/>
                <w:sz w:val="24"/>
                <w:szCs w:val="24"/>
                <w:lang w:eastAsia="zh-CN"/>
              </w:rPr>
              <w:sym w:font="Symbol" w:char="F0B3"/>
            </w:r>
            <w:r>
              <w:rPr>
                <w:rFonts w:hint="eastAsia" w:ascii="仿宋" w:hAnsi="仿宋" w:eastAsia="仿宋" w:cs="仿宋"/>
                <w:sz w:val="24"/>
                <w:szCs w:val="24"/>
                <w:lang w:eastAsia="zh-CN"/>
              </w:rPr>
              <w:t xml:space="preserve"> 10 MPa。</w:t>
            </w:r>
          </w:p>
          <w:p>
            <w:pPr>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断裂标称应变</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 xml:space="preserve">纵向 </w:t>
            </w:r>
            <w:r>
              <w:rPr>
                <w:rFonts w:hint="eastAsia" w:ascii="仿宋" w:hAnsi="仿宋" w:eastAsia="仿宋" w:cs="仿宋"/>
                <w:sz w:val="24"/>
                <w:szCs w:val="24"/>
                <w:lang w:eastAsia="zh-CN"/>
              </w:rPr>
              <w:sym w:font="Symbol" w:char="F0B3"/>
            </w:r>
            <w:r>
              <w:rPr>
                <w:rFonts w:hint="eastAsia" w:ascii="仿宋" w:hAnsi="仿宋" w:eastAsia="仿宋" w:cs="仿宋"/>
                <w:sz w:val="24"/>
                <w:szCs w:val="24"/>
                <w:lang w:eastAsia="zh-CN"/>
              </w:rPr>
              <w:t xml:space="preserve"> 200%；横向 </w:t>
            </w:r>
            <w:r>
              <w:rPr>
                <w:rFonts w:hint="eastAsia" w:ascii="仿宋" w:hAnsi="仿宋" w:eastAsia="仿宋" w:cs="仿宋"/>
                <w:sz w:val="24"/>
                <w:szCs w:val="24"/>
                <w:lang w:eastAsia="zh-CN"/>
              </w:rPr>
              <w:sym w:font="Symbol" w:char="F0B3"/>
            </w:r>
            <w:r>
              <w:rPr>
                <w:rFonts w:hint="eastAsia" w:ascii="仿宋" w:hAnsi="仿宋" w:eastAsia="仿宋" w:cs="仿宋"/>
                <w:sz w:val="24"/>
                <w:szCs w:val="24"/>
                <w:lang w:eastAsia="zh-CN"/>
              </w:rPr>
              <w:t xml:space="preserve"> 200%</w:t>
            </w:r>
          </w:p>
          <w:p>
            <w:pPr>
              <w:jc w:val="both"/>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阻隔性能</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氧气透过量</w:t>
            </w:r>
            <w:r>
              <w:rPr>
                <w:rFonts w:hint="eastAsia" w:ascii="仿宋" w:hAnsi="仿宋" w:eastAsia="仿宋" w:cs="仿宋"/>
                <w:sz w:val="24"/>
                <w:szCs w:val="24"/>
                <w:lang w:eastAsia="zh-CN"/>
              </w:rPr>
              <w:sym w:font="Symbol" w:char="F0A3"/>
            </w:r>
            <w:r>
              <w:rPr>
                <w:rFonts w:hint="eastAsia" w:ascii="仿宋" w:hAnsi="仿宋" w:eastAsia="仿宋" w:cs="仿宋"/>
                <w:sz w:val="24"/>
                <w:szCs w:val="24"/>
                <w:lang w:eastAsia="zh-CN"/>
              </w:rPr>
              <w:t xml:space="preserve"> 1200 cm3/m2.24h.atm；水汽透过量 </w:t>
            </w:r>
            <w:r>
              <w:rPr>
                <w:rFonts w:hint="eastAsia" w:ascii="仿宋" w:hAnsi="仿宋" w:eastAsia="仿宋" w:cs="仿宋"/>
                <w:sz w:val="24"/>
                <w:szCs w:val="24"/>
                <w:lang w:eastAsia="zh-CN"/>
              </w:rPr>
              <w:sym w:font="Symbol" w:char="F0A3"/>
            </w:r>
            <w:r>
              <w:rPr>
                <w:rFonts w:hint="eastAsia" w:ascii="仿宋" w:hAnsi="仿宋" w:eastAsia="仿宋" w:cs="仿宋"/>
                <w:sz w:val="24"/>
                <w:szCs w:val="24"/>
                <w:lang w:eastAsia="zh-CN"/>
              </w:rPr>
              <w:t xml:space="preserve"> 6.5 g/m2.24h</w:t>
            </w:r>
          </w:p>
        </w:tc>
      </w:tr>
    </w:tbl>
    <w:p/>
    <w:sectPr>
      <w:pgSz w:w="16930" w:h="12050"/>
      <w:pgMar w:top="1024" w:right="2104" w:bottom="0" w:left="1944"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
  <w:docVars>
    <w:docVar w:name="commondata" w:val="eyJoZGlkIjoiYmJhNDMxMzQ2MjhjZmMzNDc5NDhhNjljNzA3MzJlM2UifQ=="/>
  </w:docVars>
  <w:rsids>
    <w:rsidRoot w:val="00264648"/>
    <w:rsid w:val="001728FB"/>
    <w:rsid w:val="0020126B"/>
    <w:rsid w:val="00264648"/>
    <w:rsid w:val="00280C3F"/>
    <w:rsid w:val="003C6736"/>
    <w:rsid w:val="005D65D5"/>
    <w:rsid w:val="00704C93"/>
    <w:rsid w:val="00870A5D"/>
    <w:rsid w:val="008B2540"/>
    <w:rsid w:val="00967F93"/>
    <w:rsid w:val="00984525"/>
    <w:rsid w:val="00B92475"/>
    <w:rsid w:val="00BE3D09"/>
    <w:rsid w:val="00C83C61"/>
    <w:rsid w:val="00D4644B"/>
    <w:rsid w:val="00E81FD6"/>
    <w:rsid w:val="00E951C8"/>
    <w:rsid w:val="00FE6413"/>
    <w:rsid w:val="1C913C8A"/>
    <w:rsid w:val="23B3667B"/>
    <w:rsid w:val="2B094D6E"/>
    <w:rsid w:val="2C4633EA"/>
    <w:rsid w:val="308B3E71"/>
    <w:rsid w:val="3A2E0340"/>
    <w:rsid w:val="42D52184"/>
    <w:rsid w:val="44FF3FDA"/>
    <w:rsid w:val="46A00113"/>
    <w:rsid w:val="4BB73E30"/>
    <w:rsid w:val="5AE0592C"/>
    <w:rsid w:val="6FC31206"/>
    <w:rsid w:val="70067277"/>
    <w:rsid w:val="70A20D5A"/>
    <w:rsid w:val="71E5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3">
    <w:name w:val="Body Text"/>
    <w:basedOn w:val="1"/>
    <w:semiHidden/>
    <w:qFormat/>
    <w:uiPriority w:val="0"/>
    <w:rPr>
      <w:rFonts w:ascii="宋体" w:hAnsi="宋体" w:eastAsia="宋体" w:cs="宋体"/>
      <w:sz w:val="24"/>
      <w:szCs w:val="24"/>
    </w:rPr>
  </w:style>
  <w:style w:type="paragraph" w:styleId="4">
    <w:name w:val="footer"/>
    <w:basedOn w:val="1"/>
    <w:link w:val="13"/>
    <w:qFormat/>
    <w:uiPriority w:val="0"/>
    <w:pPr>
      <w:tabs>
        <w:tab w:val="center" w:pos="4153"/>
        <w:tab w:val="right" w:pos="8306"/>
      </w:tabs>
    </w:pPr>
    <w:rPr>
      <w:sz w:val="18"/>
      <w:szCs w:val="18"/>
    </w:rPr>
  </w:style>
  <w:style w:type="paragraph" w:styleId="5">
    <w:name w:val="header"/>
    <w:basedOn w:val="1"/>
    <w:link w:val="12"/>
    <w:qFormat/>
    <w:uiPriority w:val="0"/>
    <w:pPr>
      <w:tabs>
        <w:tab w:val="center" w:pos="4153"/>
        <w:tab w:val="right" w:pos="8306"/>
      </w:tabs>
      <w:jc w:val="center"/>
    </w:pPr>
    <w:rPr>
      <w:sz w:val="18"/>
      <w:szCs w:val="18"/>
    </w:rPr>
  </w:style>
  <w:style w:type="paragraph" w:styleId="6">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semiHidden/>
    <w:unhideWhenUsed/>
    <w:qFormat/>
    <w:uiPriority w:val="0"/>
    <w:tblPr>
      <w:tblCellMar>
        <w:top w:w="0" w:type="dxa"/>
        <w:left w:w="0" w:type="dxa"/>
        <w:bottom w:w="0" w:type="dxa"/>
        <w:right w:w="0" w:type="dxa"/>
      </w:tblCellMar>
    </w:tblPr>
  </w:style>
  <w:style w:type="paragraph" w:customStyle="1" w:styleId="11">
    <w:name w:val="Table Text"/>
    <w:basedOn w:val="1"/>
    <w:semiHidden/>
    <w:qFormat/>
    <w:uiPriority w:val="0"/>
    <w:rPr>
      <w:rFonts w:ascii="宋体" w:hAnsi="宋体" w:eastAsia="宋体" w:cs="宋体"/>
      <w:sz w:val="24"/>
      <w:szCs w:val="24"/>
    </w:rPr>
  </w:style>
  <w:style w:type="character" w:customStyle="1" w:styleId="12">
    <w:name w:val="页眉 字符"/>
    <w:basedOn w:val="9"/>
    <w:link w:val="5"/>
    <w:qFormat/>
    <w:uiPriority w:val="0"/>
    <w:rPr>
      <w:rFonts w:eastAsia="Arial"/>
      <w:snapToGrid w:val="0"/>
      <w:color w:val="000000"/>
      <w:sz w:val="18"/>
      <w:szCs w:val="18"/>
      <w:lang w:eastAsia="en-US"/>
    </w:rPr>
  </w:style>
  <w:style w:type="character" w:customStyle="1" w:styleId="13">
    <w:name w:val="页脚 字符"/>
    <w:basedOn w:val="9"/>
    <w:link w:val="4"/>
    <w:qFormat/>
    <w:uiPriority w:val="0"/>
    <w:rPr>
      <w:rFonts w:eastAsia="Arial"/>
      <w:snapToGrid w:val="0"/>
      <w:color w:val="000000"/>
      <w:sz w:val="18"/>
      <w:szCs w:val="18"/>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566</Words>
  <Characters>3232</Characters>
  <Lines>26</Lines>
  <Paragraphs>7</Paragraphs>
  <TotalTime>18</TotalTime>
  <ScaleCrop>false</ScaleCrop>
  <LinksUpToDate>false</LinksUpToDate>
  <CharactersWithSpaces>3791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2023-11-27T16:17:00Z</dcterms:created>
  <dc:creator>Kingsoft-PDF</dc:creator>
  <cp:lastModifiedBy>lily</cp:lastModifiedBy>
  <dcterms:modified xsi:type="dcterms:W3CDTF">2023-12-01T03:09:23Z</dcterms:modified>
  <dc:subject>pdfbuilder</dc:subject>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2023-11-27T16:17:37Z</vt:filetime>
  </property>
  <property fmtid="{D5CDD505-2E9C-101B-9397-08002B2CF9AE}" pid="4" name="UsrData">
    <vt:lpwstr>6564509ae4a1fd001f0c4f42wl</vt:lpwstr>
  </property>
  <property fmtid="{D5CDD505-2E9C-101B-9397-08002B2CF9AE}" pid="5" name="KSOProductBuildVer">
    <vt:lpwstr>2052-12.1.0.15990</vt:lpwstr>
  </property>
  <property fmtid="{D5CDD505-2E9C-101B-9397-08002B2CF9AE}" pid="6" name="ICV">
    <vt:lpwstr>CC5A7E8F0A1D4B21870989B634E4A8E7_13</vt:lpwstr>
  </property>
</Properties>
</file>