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1" w:line="219" w:lineRule="auto"/>
        <w:jc w:val="center"/>
        <w:rPr>
          <w:sz w:val="34"/>
          <w:szCs w:val="34"/>
          <w:lang w:eastAsia="zh-CN"/>
        </w:rPr>
      </w:pPr>
      <w:bookmarkStart w:id="0" w:name="_GoBack"/>
      <w:bookmarkEnd w:id="0"/>
      <w:r>
        <w:rPr>
          <w:b/>
          <w:bCs/>
          <w:spacing w:val="-10"/>
          <w:sz w:val="34"/>
          <w:szCs w:val="34"/>
          <w:lang w:eastAsia="zh-CN"/>
        </w:rPr>
        <w:t>附件1:202</w:t>
      </w:r>
      <w:r>
        <w:rPr>
          <w:rFonts w:hint="eastAsia"/>
          <w:b/>
          <w:bCs/>
          <w:spacing w:val="-10"/>
          <w:sz w:val="34"/>
          <w:szCs w:val="34"/>
          <w:lang w:eastAsia="zh-CN"/>
        </w:rPr>
        <w:t>3</w:t>
      </w:r>
      <w:r>
        <w:rPr>
          <w:b/>
          <w:bCs/>
          <w:spacing w:val="-10"/>
          <w:sz w:val="34"/>
          <w:szCs w:val="34"/>
          <w:lang w:eastAsia="zh-CN"/>
        </w:rPr>
        <w:t>年桐城市</w:t>
      </w:r>
      <w:r>
        <w:rPr>
          <w:rFonts w:hint="eastAsia"/>
          <w:b/>
          <w:bCs/>
          <w:spacing w:val="-10"/>
          <w:sz w:val="34"/>
          <w:szCs w:val="34"/>
          <w:lang w:eastAsia="zh-CN"/>
        </w:rPr>
        <w:t>第二批</w:t>
      </w:r>
      <w:r>
        <w:rPr>
          <w:b/>
          <w:bCs/>
          <w:spacing w:val="-10"/>
          <w:sz w:val="34"/>
          <w:szCs w:val="34"/>
          <w:lang w:eastAsia="zh-CN"/>
        </w:rPr>
        <w:t>产业创新引导资金(揭榜挂帅)项目技术需求</w:t>
      </w:r>
    </w:p>
    <w:tbl>
      <w:tblPr>
        <w:tblStyle w:val="10"/>
        <w:tblpPr w:leftFromText="180" w:rightFromText="180" w:vertAnchor="text" w:horzAnchor="page" w:tblpX="1883" w:tblpY="239"/>
        <w:tblOverlap w:val="never"/>
        <w:tblW w:w="128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4"/>
        <w:gridCol w:w="2798"/>
        <w:gridCol w:w="8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534" w:type="dxa"/>
          </w:tcPr>
          <w:p>
            <w:pPr>
              <w:pStyle w:val="11"/>
              <w:spacing w:before="135"/>
              <w:ind w:left="274"/>
            </w:pPr>
            <w:r>
              <w:rPr>
                <w:spacing w:val="3"/>
              </w:rPr>
              <w:t>需求编号</w:t>
            </w:r>
          </w:p>
        </w:tc>
        <w:tc>
          <w:tcPr>
            <w:tcW w:w="2798" w:type="dxa"/>
          </w:tcPr>
          <w:p>
            <w:pPr>
              <w:pStyle w:val="11"/>
              <w:spacing w:before="135"/>
              <w:ind w:left="1041"/>
            </w:pPr>
            <w:r>
              <w:rPr>
                <w:spacing w:val="3"/>
              </w:rPr>
              <w:t>需求名称</w:t>
            </w:r>
          </w:p>
        </w:tc>
        <w:tc>
          <w:tcPr>
            <w:tcW w:w="8558" w:type="dxa"/>
          </w:tcPr>
          <w:p>
            <w:pPr>
              <w:pStyle w:val="11"/>
              <w:spacing w:before="135"/>
              <w:ind w:left="3792"/>
            </w:pPr>
            <w:r>
              <w:rPr>
                <w:spacing w:val="3"/>
              </w:rPr>
              <w:t>需求内容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z w:val="24"/>
                <w:szCs w:val="24"/>
              </w:rPr>
              <w:t>TC-202</w:t>
            </w:r>
            <w:r>
              <w:rPr>
                <w:rFonts w:hint="eastAsia" w:ascii="仿宋" w:hAnsi="仿宋" w:eastAsia="仿宋" w:cs="仿宋"/>
                <w:sz w:val="24"/>
                <w:szCs w:val="24"/>
                <w:lang w:eastAsia="zh-CN"/>
              </w:rPr>
              <w:t>3</w:t>
            </w:r>
            <w:r>
              <w:rPr>
                <w:rFonts w:hint="eastAsia" w:ascii="仿宋" w:hAnsi="仿宋" w:eastAsia="仿宋" w:cs="仿宋"/>
                <w:sz w:val="24"/>
                <w:szCs w:val="24"/>
              </w:rPr>
              <w:t>-01</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z w:val="24"/>
                <w:szCs w:val="24"/>
              </w:rPr>
              <w:t>同位素分离技术研究</w:t>
            </w:r>
          </w:p>
        </w:tc>
        <w:tc>
          <w:tcPr>
            <w:tcW w:w="8558" w:type="dxa"/>
            <w:vAlign w:val="center"/>
          </w:tcPr>
          <w:p>
            <w:pPr>
              <w:pStyle w:val="6"/>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化工模拟方面：（1）天然CO中共有6种稳定同位素，分别为12C16O、12C17O、12C18O、13C16O、13C17O、13C18O。公司通过扰频器，使CO同位素中碳、氧同位素解耦后重新自由组合，分离得到产品组分13C16O。拟开展扰频器解耦模拟和试验研究，实现降低生产温度，提高同位素分离效率。（2）公司有系列稳定同位素研发的发展规划，但是低温精馏试验装置的造价极其昂贵，而且耗时比较长。希望利用高校优势，在同位素低温精馏模拟仿真方面开展相关研究，拟首先关于10B/11B同位素生产工艺开展相关研究，掌握关键模拟技术，提高模拟的准确度。</w:t>
            </w:r>
          </w:p>
          <w:p>
            <w:pPr>
              <w:pStyle w:val="6"/>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材料防腐方面：公司低温精馏塔放置在地下的深井内，井大约深200米,而井的护壁管采取Q345B的碳钢材料，设计寿命30年，为了提高使用寿命，需解决碳钢管腐蚀问题以及开展深井内狭窄空间腐蚀检测技术和监测手段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TC-202</w:t>
            </w:r>
            <w:r>
              <w:rPr>
                <w:rFonts w:hint="eastAsia" w:ascii="仿宋" w:hAnsi="仿宋" w:eastAsia="仿宋" w:cs="仿宋"/>
                <w:spacing w:val="-2"/>
                <w:sz w:val="24"/>
                <w:szCs w:val="24"/>
                <w:lang w:eastAsia="zh-CN"/>
              </w:rPr>
              <w:t>3</w:t>
            </w:r>
            <w:r>
              <w:rPr>
                <w:rFonts w:hint="eastAsia" w:ascii="仿宋" w:hAnsi="仿宋" w:eastAsia="仿宋" w:cs="仿宋"/>
                <w:spacing w:val="-2"/>
                <w:sz w:val="24"/>
                <w:szCs w:val="24"/>
              </w:rPr>
              <w:t>-02</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z w:val="24"/>
                <w:szCs w:val="24"/>
              </w:rPr>
              <w:t>浮动打磨动力单元</w:t>
            </w:r>
          </w:p>
        </w:tc>
        <w:tc>
          <w:tcPr>
            <w:tcW w:w="8558" w:type="dxa"/>
            <w:vAlign w:val="center"/>
          </w:tcPr>
          <w:p>
            <w:pPr>
              <w:pStyle w:val="6"/>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目前市场上使用数控平台或机器人安装打磨动力单元（电动或气动）进行自动化打磨作业，由于机械臂和打磨动力单元均是刚性结构，仅适合较规则的毛刺进行打磨，实际上毛刺在由内斜角，交叉孔等位置形成的不规则毛刺形状，同时打磨零件有存在定位误差、焊接变形、浇口拉丝等其他因素。采用数控平台或机器人安装打磨动力单元去毛刺针对不规则毛刺处理时容易出现断刀或者对工件造成损坏等情况发生。</w:t>
            </w:r>
          </w:p>
          <w:p>
            <w:pPr>
              <w:pStyle w:val="6"/>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需要开发一种可以安装在数控平台或机器人上模仿人工打磨、能自动修正打磨力度，且有较多的容差距离的“浮动打磨单元”。需具备以下特性：</w:t>
            </w:r>
          </w:p>
          <w:p>
            <w:pPr>
              <w:pStyle w:val="6"/>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实现轴向5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10mm的直线浮动量，浮动力可以通过比例阀的方式进行调整控制；</w:t>
            </w:r>
          </w:p>
          <w:p>
            <w:pPr>
              <w:pStyle w:val="6"/>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实现径向3°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5°的角度浮动量，浮动力通过比例阀的方式进行调整控制；</w:t>
            </w:r>
          </w:p>
          <w:p>
            <w:pPr>
              <w:pStyle w:val="6"/>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打磨转距实时监控回馈，实现闭环调整浮动力及异常报警；</w:t>
            </w:r>
          </w:p>
          <w:p>
            <w:pPr>
              <w:pStyle w:val="6"/>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浮动打磨单元可实现快速磨料、磨具更换。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TC-202</w:t>
            </w:r>
            <w:r>
              <w:rPr>
                <w:rFonts w:hint="eastAsia" w:ascii="仿宋" w:hAnsi="仿宋" w:eastAsia="仿宋" w:cs="仿宋"/>
                <w:spacing w:val="-1"/>
                <w:sz w:val="24"/>
                <w:szCs w:val="24"/>
                <w:lang w:eastAsia="zh-CN"/>
              </w:rPr>
              <w:t>3</w:t>
            </w:r>
            <w:r>
              <w:rPr>
                <w:rFonts w:hint="eastAsia" w:ascii="仿宋" w:hAnsi="仿宋" w:eastAsia="仿宋" w:cs="仿宋"/>
                <w:spacing w:val="-1"/>
                <w:sz w:val="24"/>
                <w:szCs w:val="24"/>
              </w:rPr>
              <w:t>-03</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空气源热泵的能耗指标（cop）提升等</w:t>
            </w:r>
          </w:p>
        </w:tc>
        <w:tc>
          <w:tcPr>
            <w:tcW w:w="8558"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1、空气源热泵的能耗指标（cop）：公司目前生产的空气源热泵主要运用于农业产品的烘干，比如说烟叶、水果、蔬菜、水稻等。目前</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热泵能够提供70°的热空气。在原有COP指标基础上，提升10%。</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2、注塑项目：在不影响成品的强度、韧性的前提下，提升再生料的使用比例。</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3、智能化物流托盘：跟踪托盘位置，建立物联网信息系统；自动识别托盘是否处于装载状态。</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4、智能生产线：优化现在注塑生产线，实现智能化生产。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78"/>
              <w:jc w:val="center"/>
              <w:textAlignment w:val="baseline"/>
              <w:rPr>
                <w:rFonts w:hint="eastAsia"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TC-202</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3</w:t>
            </w:r>
            <w:r>
              <w:rPr>
                <w:rFonts w:hint="eastAsia" w:ascii="仿宋" w:hAnsi="仿宋" w:eastAsia="仿宋" w:cs="仿宋"/>
                <w:color w:val="000000" w:themeColor="text1"/>
                <w:spacing w:val="-1"/>
                <w:sz w:val="24"/>
                <w:szCs w:val="24"/>
                <w:highlight w:val="none"/>
                <w14:textFill>
                  <w14:solidFill>
                    <w14:schemeClr w14:val="tx1"/>
                  </w14:solidFill>
                </w14:textFill>
              </w:rPr>
              <w:t>-0</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4</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装配式建筑相关技术研发及产业化应用</w:t>
            </w:r>
          </w:p>
        </w:tc>
        <w:tc>
          <w:tcPr>
            <w:tcW w:w="8558" w:type="dxa"/>
            <w:vAlign w:val="center"/>
          </w:tcPr>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公司是专业生产钢结构工程企业，轻钢结构技术已经比较成熟，市场饱和，为增加企业核心竞争力，良性发展，企业必须要转型。利用公司现有设施、人员技术等，装配式建筑是一个很好的转型方向。</w:t>
            </w:r>
          </w:p>
          <w:p>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公司目前装配式建筑技术方面几乎是零起步，希望高校提供技术、人员支持，为我公司提供先进的装配式建筑标准、工法、生产工艺等，指导公司装配式建筑产业化应用。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78"/>
              <w:jc w:val="center"/>
              <w:textAlignment w:val="baseline"/>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T</w:t>
            </w:r>
            <w:r>
              <w:rPr>
                <w:rFonts w:hint="eastAsia" w:ascii="仿宋" w:hAnsi="仿宋" w:eastAsia="仿宋" w:cs="仿宋"/>
                <w:spacing w:val="-1"/>
                <w:sz w:val="24"/>
                <w:szCs w:val="24"/>
              </w:rPr>
              <w:t>C-202</w:t>
            </w:r>
            <w:r>
              <w:rPr>
                <w:rFonts w:hint="eastAsia" w:ascii="仿宋" w:hAnsi="仿宋" w:eastAsia="仿宋" w:cs="仿宋"/>
                <w:spacing w:val="-1"/>
                <w:sz w:val="24"/>
                <w:szCs w:val="24"/>
                <w:lang w:eastAsia="zh-CN"/>
              </w:rPr>
              <w:t>3</w:t>
            </w:r>
            <w:r>
              <w:rPr>
                <w:rFonts w:hint="eastAsia" w:ascii="仿宋" w:hAnsi="仿宋" w:eastAsia="仿宋" w:cs="仿宋"/>
                <w:spacing w:val="-1"/>
                <w:sz w:val="24"/>
                <w:szCs w:val="24"/>
              </w:rPr>
              <w:t>-05</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eastAsia="zh-CN"/>
              </w:rPr>
              <w:t>应急救援设备的研发与市场营销</w:t>
            </w:r>
          </w:p>
        </w:tc>
        <w:tc>
          <w:tcPr>
            <w:tcW w:w="8558" w:type="dxa"/>
            <w:vAlign w:val="center"/>
          </w:tcPr>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公司主营应急救险车辆，主要应用于市政、供电、供水、燃气管网和自然灾害等情况的应急救援抢险工作。在应急救援现场，各系列救援车除提供所必需的抢修抢险设备、工具外，还需要提供施工现场所必需的电源。目前市场上燃油救险车配备电源的主要形式是在车厢中装配发电机组，而发电机组的笨重既增加了车辆自重，也使车厢空间不能得到有效利用。</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公司希望开发救险车应急充电系统，进行供电系统、智能控制系统的相关技术研发，解决电力不足、电力不稳、智能化程度不高等问题。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78"/>
              <w:jc w:val="center"/>
              <w:textAlignment w:val="baseline"/>
              <w:rPr>
                <w:rFonts w:hint="eastAsia" w:ascii="仿宋" w:hAnsi="仿宋" w:eastAsia="仿宋" w:cs="仿宋"/>
                <w:spacing w:val="-1"/>
                <w:sz w:val="24"/>
                <w:szCs w:val="24"/>
                <w:lang w:eastAsia="zh-CN"/>
              </w:rPr>
            </w:pPr>
            <w:r>
              <w:rPr>
                <w:rFonts w:hint="eastAsia" w:ascii="仿宋" w:hAnsi="仿宋" w:eastAsia="仿宋" w:cs="仿宋"/>
                <w:spacing w:val="-1"/>
                <w:sz w:val="24"/>
                <w:szCs w:val="24"/>
              </w:rPr>
              <w:t>TC-</w:t>
            </w:r>
            <w:r>
              <w:rPr>
                <w:rFonts w:hint="eastAsia" w:ascii="仿宋" w:hAnsi="仿宋" w:eastAsia="仿宋" w:cs="仿宋"/>
                <w:spacing w:val="-1"/>
                <w:sz w:val="24"/>
                <w:szCs w:val="24"/>
                <w:lang w:eastAsia="zh-CN"/>
              </w:rPr>
              <w:t>2023</w:t>
            </w:r>
            <w:r>
              <w:rPr>
                <w:rFonts w:hint="eastAsia" w:ascii="仿宋" w:hAnsi="仿宋" w:eastAsia="仿宋" w:cs="仿宋"/>
                <w:spacing w:val="-1"/>
                <w:sz w:val="24"/>
                <w:szCs w:val="24"/>
              </w:rPr>
              <w:t>-06</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鼻声反射、嗅觉功能的研发</w:t>
            </w:r>
          </w:p>
        </w:tc>
        <w:tc>
          <w:tcPr>
            <w:tcW w:w="8558" w:type="dxa"/>
            <w:vAlign w:val="center"/>
          </w:tcPr>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公司开发了一款鼻阻力测量仪，目前国内市场上使用的鼻阻力测量设备品牌有德国ATOMS和英国GM，其配备的半面罩和鼻管适配器为循环使用，在不同用户之间使用存在交叉感染的风险，医护人员在用手往受检者鼻孔里塞的时候也容易沾上细菌。同时，医生在对下一个患者进行检测前需要对患者接触的部分进行消毒处理，操作不方便，比较费时费力。公司设计了一款“挡位式”测试结构，测试时将一次性鼻阻力耗材与鼻腔接触好后，通过拨动手柄上的挡位，可以轻松切换进行左侧鼻阻力、右侧鼻阻力及双侧鼻流量测试，并且有指示灯引导操作，解决传统鼻阻力测试每次切换佩戴面罩和压力导管的复杂过程，大大简化了操作流程，缩短测量时间。</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目前开发的鼻阻力测量仪，其取压传感器在鼻声反射、嗅觉功能方面的检查还不能进行，寻求相关解决方案。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TC-</w:t>
            </w:r>
            <w:r>
              <w:rPr>
                <w:rFonts w:hint="eastAsia" w:ascii="仿宋" w:hAnsi="仿宋" w:eastAsia="仿宋" w:cs="仿宋"/>
                <w:spacing w:val="-1"/>
                <w:sz w:val="24"/>
                <w:szCs w:val="24"/>
                <w:lang w:eastAsia="zh-CN"/>
              </w:rPr>
              <w:t>2023</w:t>
            </w:r>
            <w:r>
              <w:rPr>
                <w:rFonts w:hint="eastAsia" w:ascii="仿宋" w:hAnsi="仿宋" w:eastAsia="仿宋" w:cs="仿宋"/>
                <w:spacing w:val="-1"/>
                <w:sz w:val="24"/>
                <w:szCs w:val="24"/>
              </w:rPr>
              <w:t>-07</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镀膜过程保护高性能胶黏剂</w:t>
            </w:r>
          </w:p>
        </w:tc>
        <w:tc>
          <w:tcPr>
            <w:tcW w:w="8558" w:type="dxa"/>
            <w:vAlign w:val="center"/>
          </w:tcPr>
          <w:p>
            <w:pPr>
              <w:pStyle w:val="6"/>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公司开发主要应用于汽车车窗玻璃的镀膜保护装置。具体要求如下：</w:t>
            </w:r>
          </w:p>
          <w:p>
            <w:pPr>
              <w:pStyle w:val="6"/>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1、玻璃油墨区域做胶水丝印涂布（胶水流动性不能太大，超出丝印位置）</w:t>
            </w:r>
          </w:p>
          <w:p>
            <w:pPr>
              <w:pStyle w:val="6"/>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2、过烘箱干燥（干燥温度：100-200℃* 1-3mimn，具体依胶黏剂需求可调）</w:t>
            </w:r>
          </w:p>
          <w:p>
            <w:pPr>
              <w:pStyle w:val="6"/>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3、镀膜：160-180℃*30min ，胶层不能脱离原先丝印保护的油墨位置 </w:t>
            </w:r>
          </w:p>
          <w:p>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ascii="仿宋" w:hAnsi="仿宋" w:eastAsia="仿宋" w:cs="仿宋"/>
                <w:sz w:val="24"/>
                <w:szCs w:val="24"/>
                <w:lang w:eastAsia="zh-CN"/>
              </w:rPr>
            </w:pPr>
            <w:r>
              <w:rPr>
                <w:rFonts w:hint="eastAsia" w:ascii="仿宋" w:hAnsi="仿宋" w:eastAsia="仿宋" w:cs="仿宋"/>
                <w:snapToGrid w:val="0"/>
                <w:color w:val="000000"/>
                <w:sz w:val="24"/>
                <w:szCs w:val="24"/>
                <w:lang w:val="en-US" w:eastAsia="zh-CN" w:bidi="ar-SA"/>
              </w:rPr>
              <w:t>4、</w:t>
            </w:r>
            <w:r>
              <w:rPr>
                <w:rFonts w:hint="eastAsia" w:ascii="仿宋" w:hAnsi="仿宋" w:eastAsia="仿宋" w:cs="仿宋"/>
                <w:sz w:val="24"/>
                <w:szCs w:val="24"/>
                <w:lang w:eastAsia="zh-CN"/>
              </w:rPr>
              <w:t>热弯：600℃* 15s（胶层需要在这个环节完全挥发掉）</w:t>
            </w:r>
          </w:p>
        </w:tc>
      </w:tr>
    </w:tbl>
    <w:p>
      <w:pPr>
        <w:spacing w:before="163"/>
        <w:rPr>
          <w:rFonts w:hint="eastAsia" w:ascii="仿宋" w:hAnsi="仿宋" w:eastAsia="仿宋" w:cs="仿宋"/>
          <w:sz w:val="24"/>
          <w:szCs w:val="24"/>
          <w:lang w:eastAsia="zh-CN"/>
        </w:rPr>
      </w:pPr>
    </w:p>
    <w:tbl>
      <w:tblPr>
        <w:tblStyle w:val="10"/>
        <w:tblW w:w="12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4"/>
        <w:gridCol w:w="2798"/>
        <w:gridCol w:w="8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TC-</w:t>
            </w:r>
            <w:r>
              <w:rPr>
                <w:rFonts w:hint="eastAsia" w:ascii="仿宋" w:hAnsi="仿宋" w:eastAsia="仿宋" w:cs="仿宋"/>
                <w:spacing w:val="-1"/>
                <w:sz w:val="24"/>
                <w:szCs w:val="24"/>
                <w:lang w:eastAsia="zh-CN"/>
              </w:rPr>
              <w:t>2023</w:t>
            </w:r>
            <w:r>
              <w:rPr>
                <w:rFonts w:hint="eastAsia" w:ascii="仿宋" w:hAnsi="仿宋" w:eastAsia="仿宋" w:cs="仿宋"/>
                <w:spacing w:val="-1"/>
                <w:sz w:val="24"/>
                <w:szCs w:val="24"/>
              </w:rPr>
              <w:t>-08</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碳化硼领域的新产品开发</w:t>
            </w:r>
          </w:p>
        </w:tc>
        <w:tc>
          <w:tcPr>
            <w:tcW w:w="8538" w:type="dxa"/>
            <w:vAlign w:val="center"/>
          </w:tcPr>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公司目前主要生产碳化硼喷嘴，用于喷砂机喷枪，应用于表面处理行业。目前产品单一，碳化硼，硬度高，耐磨性好，加工难度大，目前只局限于生产一些简单的造型，现在急需研发异型产品，或碳化硼其他领域的新产品，完成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jc w:val="center"/>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TC-</w:t>
            </w:r>
            <w:r>
              <w:rPr>
                <w:rFonts w:hint="eastAsia" w:ascii="仿宋" w:hAnsi="仿宋" w:eastAsia="仿宋" w:cs="仿宋"/>
                <w:spacing w:val="-1"/>
                <w:sz w:val="24"/>
                <w:szCs w:val="24"/>
                <w:lang w:eastAsia="zh-CN"/>
              </w:rPr>
              <w:t>2023</w:t>
            </w:r>
            <w:r>
              <w:rPr>
                <w:rFonts w:hint="eastAsia" w:ascii="仿宋" w:hAnsi="仿宋" w:eastAsia="仿宋" w:cs="仿宋"/>
                <w:spacing w:val="-1"/>
                <w:sz w:val="24"/>
                <w:szCs w:val="24"/>
              </w:rPr>
              <w:t>-0</w:t>
            </w:r>
            <w:r>
              <w:rPr>
                <w:rFonts w:hint="eastAsia" w:ascii="仿宋" w:hAnsi="仿宋" w:eastAsia="仿宋" w:cs="仿宋"/>
                <w:spacing w:val="-1"/>
                <w:sz w:val="24"/>
                <w:szCs w:val="24"/>
                <w:lang w:eastAsia="zh-CN"/>
              </w:rPr>
              <w:t>9</w:t>
            </w:r>
          </w:p>
        </w:tc>
        <w:tc>
          <w:tcPr>
            <w:tcW w:w="27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烟包、条盒外包装BOPP膜整形改善</w:t>
            </w:r>
          </w:p>
        </w:tc>
        <w:tc>
          <w:tcPr>
            <w:tcW w:w="8538" w:type="dxa"/>
            <w:vAlign w:val="center"/>
          </w:tcPr>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目前烟草包装行业对烟包及条盒外包装质量要求较高，在烟包、条盒完成外层BOPP薄膜包装后，通过加热板对薄膜进行机械式熨烫以达到外观美观要求。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针对高分子材料（BOPP）特性，改进现有加热烫熨机械结构较复杂，提高生产效率；同时，运用新加热技术对烟包、条盒外包BOPP膜进行整形，达到外观平整、无皱褶。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TC-</w:t>
            </w:r>
            <w:r>
              <w:rPr>
                <w:rFonts w:hint="eastAsia" w:ascii="仿宋" w:hAnsi="仿宋" w:eastAsia="仿宋" w:cs="仿宋"/>
                <w:spacing w:val="-1"/>
                <w:sz w:val="24"/>
                <w:szCs w:val="24"/>
                <w:lang w:eastAsia="zh-CN"/>
              </w:rPr>
              <w:t>2023</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10</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机器人焊接免示教软件开发</w:t>
            </w:r>
          </w:p>
        </w:tc>
        <w:tc>
          <w:tcPr>
            <w:tcW w:w="8538" w:type="dxa"/>
            <w:vAlign w:val="center"/>
          </w:tcPr>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现有机器人行走轨迹是采用示教器面板人工操作，导致单件非标件、复杂焊件的示教输入辅助时间较长，开发一款免示教软件，重点解决提高机器人工作效率，提高焊接质量，节约人力资源。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jc w:val="center"/>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pacing w:val="-1"/>
                <w:sz w:val="24"/>
                <w:szCs w:val="24"/>
                <w:lang w:eastAsia="zh-CN"/>
              </w:rPr>
            </w:pPr>
            <w:r>
              <w:rPr>
                <w:rFonts w:hint="eastAsia" w:ascii="仿宋" w:hAnsi="仿宋" w:eastAsia="仿宋" w:cs="仿宋"/>
                <w:spacing w:val="-1"/>
                <w:sz w:val="24"/>
                <w:szCs w:val="24"/>
              </w:rPr>
              <w:t>TC-</w:t>
            </w:r>
            <w:r>
              <w:rPr>
                <w:rFonts w:hint="eastAsia" w:ascii="仿宋" w:hAnsi="仿宋" w:eastAsia="仿宋" w:cs="仿宋"/>
                <w:spacing w:val="-1"/>
                <w:sz w:val="24"/>
                <w:szCs w:val="24"/>
                <w:lang w:eastAsia="zh-CN"/>
              </w:rPr>
              <w:t>2023</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11</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城市轨道交通受电弓用铜滑板的生产制造及销售</w:t>
            </w:r>
          </w:p>
        </w:tc>
        <w:tc>
          <w:tcPr>
            <w:tcW w:w="8538" w:type="dxa"/>
            <w:vAlign w:val="center"/>
          </w:tcPr>
          <w:p>
            <w:pPr>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轨道交通城际铁路受电弓滑板国产化替代项目。轨道交通受电弓用铜滑板材料的配方研发，相关材料加工工艺条件测试方案，协助解决碳基、铜基轨道交通受电弓材料与制备技术转化工作。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2" w:hRule="atLeast"/>
          <w:jc w:val="center"/>
        </w:trPr>
        <w:tc>
          <w:tcPr>
            <w:tcW w:w="153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pacing w:val="-1"/>
                <w:sz w:val="24"/>
                <w:szCs w:val="24"/>
                <w:lang w:eastAsia="zh-CN"/>
              </w:rPr>
            </w:pPr>
            <w:r>
              <w:rPr>
                <w:rFonts w:hint="eastAsia" w:ascii="仿宋" w:hAnsi="仿宋" w:eastAsia="仿宋" w:cs="仿宋"/>
                <w:spacing w:val="-1"/>
                <w:sz w:val="24"/>
                <w:szCs w:val="24"/>
              </w:rPr>
              <w:t>TC-</w:t>
            </w:r>
            <w:r>
              <w:rPr>
                <w:rFonts w:hint="eastAsia" w:ascii="仿宋" w:hAnsi="仿宋" w:eastAsia="仿宋" w:cs="仿宋"/>
                <w:spacing w:val="-1"/>
                <w:sz w:val="24"/>
                <w:szCs w:val="24"/>
                <w:lang w:eastAsia="zh-CN"/>
              </w:rPr>
              <w:t>2023</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12</w:t>
            </w:r>
          </w:p>
        </w:tc>
        <w:tc>
          <w:tcPr>
            <w:tcW w:w="279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高阻隔热封膜的制造技术</w:t>
            </w:r>
          </w:p>
        </w:tc>
        <w:tc>
          <w:tcPr>
            <w:tcW w:w="8538" w:type="dxa"/>
            <w:vAlign w:val="center"/>
          </w:tcPr>
          <w:p>
            <w:pPr>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企业产品主要应用于高阻隔包装场景，目前研发了五层共挤膜配方，采用五层共挤薄膜吹塑机组制造低温热封膜、易揭膜、易撕膜、增强增韧等系列薄膜，但该系列薄膜的阻隔性能较差，需要通过赋予现有的非阻隔第五层共挤膜外膜（或中间层）阻隔性能，改变采用多层薄膜复合的方式达到阻隔的目的，通过分子设计和原料创新，研发高阻隔热封膜的制造技术。</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外观不存在有碍使用的气泡、穿孔、水纹、条纹、爆筋、塑化不良、鱼眼、僵块等瑕疵。</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拉伸强度</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纵向 </w:t>
            </w:r>
            <w:r>
              <w:rPr>
                <w:rFonts w:hint="eastAsia" w:ascii="仿宋" w:hAnsi="仿宋" w:eastAsia="仿宋" w:cs="仿宋"/>
                <w:sz w:val="24"/>
                <w:szCs w:val="24"/>
                <w:lang w:eastAsia="zh-CN"/>
              </w:rPr>
              <w:sym w:font="Symbol" w:char="F0B3"/>
            </w:r>
            <w:r>
              <w:rPr>
                <w:rFonts w:hint="eastAsia" w:ascii="仿宋" w:hAnsi="仿宋" w:eastAsia="仿宋" w:cs="仿宋"/>
                <w:sz w:val="24"/>
                <w:szCs w:val="24"/>
                <w:lang w:eastAsia="zh-CN"/>
              </w:rPr>
              <w:t xml:space="preserve"> 10 MPa；横向 </w:t>
            </w:r>
            <w:r>
              <w:rPr>
                <w:rFonts w:hint="eastAsia" w:ascii="仿宋" w:hAnsi="仿宋" w:eastAsia="仿宋" w:cs="仿宋"/>
                <w:sz w:val="24"/>
                <w:szCs w:val="24"/>
                <w:lang w:eastAsia="zh-CN"/>
              </w:rPr>
              <w:sym w:font="Symbol" w:char="F0B3"/>
            </w:r>
            <w:r>
              <w:rPr>
                <w:rFonts w:hint="eastAsia" w:ascii="仿宋" w:hAnsi="仿宋" w:eastAsia="仿宋" w:cs="仿宋"/>
                <w:sz w:val="24"/>
                <w:szCs w:val="24"/>
                <w:lang w:eastAsia="zh-CN"/>
              </w:rPr>
              <w:t xml:space="preserve"> 10 MPa。</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断裂标称应变</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纵向 </w:t>
            </w:r>
            <w:r>
              <w:rPr>
                <w:rFonts w:hint="eastAsia" w:ascii="仿宋" w:hAnsi="仿宋" w:eastAsia="仿宋" w:cs="仿宋"/>
                <w:sz w:val="24"/>
                <w:szCs w:val="24"/>
                <w:lang w:eastAsia="zh-CN"/>
              </w:rPr>
              <w:sym w:font="Symbol" w:char="F0B3"/>
            </w:r>
            <w:r>
              <w:rPr>
                <w:rFonts w:hint="eastAsia" w:ascii="仿宋" w:hAnsi="仿宋" w:eastAsia="仿宋" w:cs="仿宋"/>
                <w:sz w:val="24"/>
                <w:szCs w:val="24"/>
                <w:lang w:eastAsia="zh-CN"/>
              </w:rPr>
              <w:t xml:space="preserve"> 200%；横向 </w:t>
            </w:r>
            <w:r>
              <w:rPr>
                <w:rFonts w:hint="eastAsia" w:ascii="仿宋" w:hAnsi="仿宋" w:eastAsia="仿宋" w:cs="仿宋"/>
                <w:sz w:val="24"/>
                <w:szCs w:val="24"/>
                <w:lang w:eastAsia="zh-CN"/>
              </w:rPr>
              <w:sym w:font="Symbol" w:char="F0B3"/>
            </w:r>
            <w:r>
              <w:rPr>
                <w:rFonts w:hint="eastAsia" w:ascii="仿宋" w:hAnsi="仿宋" w:eastAsia="仿宋" w:cs="仿宋"/>
                <w:sz w:val="24"/>
                <w:szCs w:val="24"/>
                <w:lang w:eastAsia="zh-CN"/>
              </w:rPr>
              <w:t xml:space="preserve"> 200%</w:t>
            </w:r>
          </w:p>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阻隔性能</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氧气透过量</w:t>
            </w:r>
            <w:r>
              <w:rPr>
                <w:rFonts w:hint="eastAsia" w:ascii="仿宋" w:hAnsi="仿宋" w:eastAsia="仿宋" w:cs="仿宋"/>
                <w:sz w:val="24"/>
                <w:szCs w:val="24"/>
                <w:lang w:eastAsia="zh-CN"/>
              </w:rPr>
              <w:sym w:font="Symbol" w:char="F0A3"/>
            </w:r>
            <w:r>
              <w:rPr>
                <w:rFonts w:hint="eastAsia" w:ascii="仿宋" w:hAnsi="仿宋" w:eastAsia="仿宋" w:cs="仿宋"/>
                <w:sz w:val="24"/>
                <w:szCs w:val="24"/>
                <w:lang w:eastAsia="zh-CN"/>
              </w:rPr>
              <w:t xml:space="preserve"> 1200 cm3/m2.24h.atm；水汽透过量 </w:t>
            </w:r>
            <w:r>
              <w:rPr>
                <w:rFonts w:hint="eastAsia" w:ascii="仿宋" w:hAnsi="仿宋" w:eastAsia="仿宋" w:cs="仿宋"/>
                <w:sz w:val="24"/>
                <w:szCs w:val="24"/>
                <w:lang w:eastAsia="zh-CN"/>
              </w:rPr>
              <w:sym w:font="Symbol" w:char="F0A3"/>
            </w:r>
            <w:r>
              <w:rPr>
                <w:rFonts w:hint="eastAsia" w:ascii="仿宋" w:hAnsi="仿宋" w:eastAsia="仿宋" w:cs="仿宋"/>
                <w:sz w:val="24"/>
                <w:szCs w:val="24"/>
                <w:lang w:eastAsia="zh-CN"/>
              </w:rPr>
              <w:t xml:space="preserve"> 6.5 g/m2.24h</w:t>
            </w:r>
          </w:p>
        </w:tc>
      </w:tr>
    </w:tbl>
    <w:p/>
    <w:sectPr>
      <w:pgSz w:w="16930" w:h="12050"/>
      <w:pgMar w:top="1024" w:right="2104" w:bottom="0" w:left="194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mJhNDMxMzQ2MjhjZmMzNDc5NDhhNjljNzA3MzJlM2UifQ=="/>
  </w:docVars>
  <w:rsids>
    <w:rsidRoot w:val="00264648"/>
    <w:rsid w:val="001728FB"/>
    <w:rsid w:val="0020126B"/>
    <w:rsid w:val="00264648"/>
    <w:rsid w:val="00280C3F"/>
    <w:rsid w:val="003C6736"/>
    <w:rsid w:val="005D65D5"/>
    <w:rsid w:val="00704C93"/>
    <w:rsid w:val="00870A5D"/>
    <w:rsid w:val="008B2540"/>
    <w:rsid w:val="00967F93"/>
    <w:rsid w:val="00984525"/>
    <w:rsid w:val="00B92475"/>
    <w:rsid w:val="00BE3D09"/>
    <w:rsid w:val="00C83C61"/>
    <w:rsid w:val="00D4644B"/>
    <w:rsid w:val="00E81FD6"/>
    <w:rsid w:val="00E951C8"/>
    <w:rsid w:val="00FE6413"/>
    <w:rsid w:val="1C913C8A"/>
    <w:rsid w:val="23B3667B"/>
    <w:rsid w:val="2B094D6E"/>
    <w:rsid w:val="2C4633EA"/>
    <w:rsid w:val="308B3E71"/>
    <w:rsid w:val="3A2E0340"/>
    <w:rsid w:val="42D52184"/>
    <w:rsid w:val="44FF3FDA"/>
    <w:rsid w:val="46A00113"/>
    <w:rsid w:val="4BB73E30"/>
    <w:rsid w:val="5AE0592C"/>
    <w:rsid w:val="6FC31206"/>
    <w:rsid w:val="70067277"/>
    <w:rsid w:val="70A20D5A"/>
    <w:rsid w:val="71E5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semiHidden/>
    <w:qFormat/>
    <w:uiPriority w:val="0"/>
    <w:rPr>
      <w:rFonts w:ascii="宋体" w:hAnsi="宋体" w:eastAsia="宋体" w:cs="宋体"/>
      <w:sz w:val="24"/>
      <w:szCs w:val="24"/>
    </w:rPr>
  </w:style>
  <w:style w:type="paragraph" w:styleId="4">
    <w:name w:val="footer"/>
    <w:basedOn w:val="1"/>
    <w:link w:val="13"/>
    <w:qFormat/>
    <w:uiPriority w:val="0"/>
    <w:pPr>
      <w:tabs>
        <w:tab w:val="center" w:pos="4153"/>
        <w:tab w:val="right" w:pos="8306"/>
      </w:tabs>
    </w:pPr>
    <w:rPr>
      <w:sz w:val="18"/>
      <w:szCs w:val="18"/>
    </w:rPr>
  </w:style>
  <w:style w:type="paragraph" w:styleId="5">
    <w:name w:val="header"/>
    <w:basedOn w:val="1"/>
    <w:link w:val="12"/>
    <w:qFormat/>
    <w:uiPriority w:val="0"/>
    <w:pPr>
      <w:tabs>
        <w:tab w:val="center" w:pos="4153"/>
        <w:tab w:val="right" w:pos="8306"/>
      </w:tabs>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rPr>
  </w:style>
  <w:style w:type="character" w:customStyle="1" w:styleId="12">
    <w:name w:val="页眉 字符"/>
    <w:basedOn w:val="9"/>
    <w:link w:val="5"/>
    <w:qFormat/>
    <w:uiPriority w:val="0"/>
    <w:rPr>
      <w:rFonts w:eastAsia="Arial"/>
      <w:snapToGrid w:val="0"/>
      <w:color w:val="000000"/>
      <w:sz w:val="18"/>
      <w:szCs w:val="18"/>
      <w:lang w:eastAsia="en-US"/>
    </w:rPr>
  </w:style>
  <w:style w:type="character" w:customStyle="1" w:styleId="13">
    <w:name w:val="页脚 字符"/>
    <w:basedOn w:val="9"/>
    <w:link w:val="4"/>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566</Words>
  <Characters>3232</Characters>
  <Lines>26</Lines>
  <Paragraphs>7</Paragraphs>
  <TotalTime>18</TotalTime>
  <ScaleCrop>false</ScaleCrop>
  <LinksUpToDate>false</LinksUpToDate>
  <CharactersWithSpaces>3791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2023-11-27T16:17:00Z</dcterms:created>
  <dc:creator>Kingsoft-PDF</dc:creator>
  <cp:lastModifiedBy>lily</cp:lastModifiedBy>
  <dcterms:modified xsi:type="dcterms:W3CDTF">2023-12-01T03:09:23Z</dcterms:modified>
  <dc:subject>pdfbuilder</dc:subject>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2023-11-27T16:17:37Z</vt:filetime>
  </property>
  <property fmtid="{D5CDD505-2E9C-101B-9397-08002B2CF9AE}" pid="4" name="UsrData">
    <vt:lpwstr>6564509ae4a1fd001f0c4f42wl</vt:lpwstr>
  </property>
  <property fmtid="{D5CDD505-2E9C-101B-9397-08002B2CF9AE}" pid="5" name="KSOProductBuildVer">
    <vt:lpwstr>2052-12.1.0.15990</vt:lpwstr>
  </property>
  <property fmtid="{D5CDD505-2E9C-101B-9397-08002B2CF9AE}" pid="6" name="ICV">
    <vt:lpwstr>CC5A7E8F0A1D4B21870989B634E4A8E7_13</vt:lpwstr>
  </property>
</Properties>
</file>