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740AF">
      <w:pPr>
        <w:pStyle w:val="2"/>
        <w:spacing w:before="107" w:line="219" w:lineRule="auto"/>
        <w:rPr>
          <w:rFonts w:hint="eastAsia"/>
          <w:b/>
          <w:bCs/>
          <w:spacing w:val="3"/>
          <w:sz w:val="28"/>
          <w:szCs w:val="28"/>
          <w:lang w:eastAsia="zh-CN"/>
        </w:rPr>
      </w:pPr>
      <w:r>
        <w:rPr>
          <w:rFonts w:hint="eastAsia"/>
          <w:b/>
          <w:bCs/>
          <w:spacing w:val="4"/>
          <w:sz w:val="33"/>
          <w:szCs w:val="33"/>
          <w:lang w:eastAsia="zh-CN"/>
        </w:rPr>
        <w:t>附</w:t>
      </w:r>
      <w:r>
        <w:rPr>
          <w:b/>
          <w:bCs/>
          <w:spacing w:val="4"/>
          <w:sz w:val="33"/>
          <w:szCs w:val="33"/>
          <w:lang w:eastAsia="zh-CN"/>
        </w:rPr>
        <w:t>件1</w:t>
      </w:r>
      <w:r>
        <w:rPr>
          <w:rFonts w:hint="eastAsia"/>
          <w:b/>
          <w:bCs/>
          <w:spacing w:val="4"/>
          <w:sz w:val="33"/>
          <w:szCs w:val="33"/>
          <w:lang w:eastAsia="zh-CN"/>
        </w:rPr>
        <w:t>：</w:t>
      </w:r>
      <w:r>
        <w:rPr>
          <w:b/>
          <w:bCs/>
          <w:spacing w:val="4"/>
          <w:sz w:val="28"/>
          <w:szCs w:val="28"/>
          <w:lang w:eastAsia="zh-CN"/>
        </w:rPr>
        <w:t>202</w:t>
      </w:r>
      <w:r>
        <w:rPr>
          <w:rFonts w:hint="eastAsia"/>
          <w:b/>
          <w:bCs/>
          <w:spacing w:val="4"/>
          <w:sz w:val="28"/>
          <w:szCs w:val="28"/>
          <w:lang w:eastAsia="zh-CN"/>
        </w:rPr>
        <w:t>5</w:t>
      </w:r>
      <w:r>
        <w:rPr>
          <w:b/>
          <w:bCs/>
          <w:spacing w:val="4"/>
          <w:sz w:val="28"/>
          <w:szCs w:val="28"/>
          <w:lang w:eastAsia="zh-CN"/>
        </w:rPr>
        <w:t>年桐城市</w:t>
      </w:r>
      <w:r>
        <w:rPr>
          <w:rFonts w:hint="eastAsia"/>
          <w:b/>
          <w:bCs/>
          <w:spacing w:val="4"/>
          <w:sz w:val="28"/>
          <w:szCs w:val="28"/>
          <w:lang w:eastAsia="zh-CN"/>
        </w:rPr>
        <w:t>第一批</w:t>
      </w:r>
      <w:r>
        <w:rPr>
          <w:b/>
          <w:bCs/>
          <w:spacing w:val="4"/>
          <w:sz w:val="28"/>
          <w:szCs w:val="28"/>
          <w:lang w:eastAsia="zh-CN"/>
        </w:rPr>
        <w:t>产业创新引导资金(揭榜挂帅)项目</w:t>
      </w:r>
      <w:r>
        <w:rPr>
          <w:b/>
          <w:bCs/>
          <w:spacing w:val="3"/>
          <w:sz w:val="28"/>
          <w:szCs w:val="28"/>
          <w:lang w:eastAsia="zh-CN"/>
        </w:rPr>
        <w:t>技术</w:t>
      </w:r>
      <w:r>
        <w:rPr>
          <w:rFonts w:hint="eastAsia"/>
          <w:b/>
          <w:bCs/>
          <w:spacing w:val="3"/>
          <w:sz w:val="28"/>
          <w:szCs w:val="28"/>
          <w:lang w:eastAsia="zh-CN"/>
        </w:rPr>
        <w:t>需求</w:t>
      </w:r>
    </w:p>
    <w:tbl>
      <w:tblPr>
        <w:tblStyle w:val="11"/>
        <w:tblW w:w="138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2986"/>
        <w:gridCol w:w="9480"/>
      </w:tblGrid>
      <w:tr w14:paraId="6272B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56" w:type="dxa"/>
          </w:tcPr>
          <w:p w14:paraId="126928DB">
            <w:pPr>
              <w:pStyle w:val="10"/>
              <w:spacing w:before="135" w:line="219" w:lineRule="auto"/>
              <w:ind w:left="275"/>
              <w:rPr>
                <w:rFonts w:hint="eastAsia"/>
              </w:rPr>
            </w:pPr>
            <w:r>
              <w:rPr>
                <w:spacing w:val="3"/>
              </w:rPr>
              <w:t>需求编号</w:t>
            </w:r>
          </w:p>
        </w:tc>
        <w:tc>
          <w:tcPr>
            <w:tcW w:w="2986" w:type="dxa"/>
          </w:tcPr>
          <w:p w14:paraId="675124A2">
            <w:pPr>
              <w:pStyle w:val="10"/>
              <w:spacing w:before="135" w:line="220" w:lineRule="auto"/>
              <w:ind w:left="921"/>
              <w:rPr>
                <w:rFonts w:hint="eastAsia"/>
              </w:rPr>
            </w:pPr>
            <w:r>
              <w:rPr>
                <w:spacing w:val="3"/>
              </w:rPr>
              <w:t>需求名称</w:t>
            </w:r>
          </w:p>
        </w:tc>
        <w:tc>
          <w:tcPr>
            <w:tcW w:w="9480" w:type="dxa"/>
          </w:tcPr>
          <w:p w14:paraId="2EF75B35">
            <w:pPr>
              <w:pStyle w:val="10"/>
              <w:spacing w:before="135" w:line="219" w:lineRule="auto"/>
              <w:ind w:left="3783"/>
              <w:rPr>
                <w:rFonts w:hint="eastAsia"/>
              </w:rPr>
            </w:pPr>
            <w:r>
              <w:rPr>
                <w:spacing w:val="3"/>
              </w:rPr>
              <w:t>需求内容</w:t>
            </w:r>
          </w:p>
        </w:tc>
      </w:tr>
      <w:tr w14:paraId="07B48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2" w:hRule="atLeast"/>
        </w:trPr>
        <w:tc>
          <w:tcPr>
            <w:tcW w:w="1356" w:type="dxa"/>
            <w:vAlign w:val="center"/>
          </w:tcPr>
          <w:p w14:paraId="3B47934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TC-202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-01</w:t>
            </w:r>
          </w:p>
        </w:tc>
        <w:tc>
          <w:tcPr>
            <w:tcW w:w="2986" w:type="dxa"/>
            <w:vAlign w:val="center"/>
          </w:tcPr>
          <w:p w14:paraId="018A0EC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呼气卡智能装配与视觉检测系统研发</w:t>
            </w:r>
          </w:p>
        </w:tc>
        <w:tc>
          <w:tcPr>
            <w:tcW w:w="9480" w:type="dxa"/>
          </w:tcPr>
          <w:p w14:paraId="398B2CC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80" w:firstLineChars="200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需求：开发一套呼气卡智能装配与视觉检测系统，系统操作人员的工作模式由持续式改为间歇式缓解操作，实现下壳自动上料、指示片吸收片自动冲裁上料、上壳自动上料、视觉检测剔除、自动熔接、成品收料等功能。同时具备自动收集和分析生产数据功能，用于数字化车间建设和转型。</w:t>
            </w:r>
          </w:p>
          <w:p w14:paraId="55C48DB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技术指标：</w:t>
            </w:r>
          </w:p>
          <w:p w14:paraId="1680EFA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1、提高设备效率：由当前750PCS/H/台/人达到≥2500PCS/H/台/人。</w:t>
            </w:r>
          </w:p>
          <w:p w14:paraId="0A316DC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2、成品效率（合格品）≥2500片/小时；吸收片、指示片裁剪合格率≥99.9％；</w:t>
            </w:r>
          </w:p>
          <w:p w14:paraId="10AB7FE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3、机械手抓取放置准确率≥99.9％；熔接不合格率：≤0.1%；正确剔除率≥99.9％；</w:t>
            </w:r>
          </w:p>
          <w:p w14:paraId="29FE99A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textAlignment w:val="base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4、噪音值：≤75分贝；</w:t>
            </w:r>
          </w:p>
          <w:p w14:paraId="4F9AFBA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5、操作人员数量≤2人/套；上料下料时间间隔≥30min；系统平均无故障时间≥480h。</w:t>
            </w:r>
          </w:p>
        </w:tc>
      </w:tr>
      <w:tr w14:paraId="1DCBC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356" w:type="dxa"/>
            <w:vAlign w:val="center"/>
          </w:tcPr>
          <w:p w14:paraId="2389E1A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TC-202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-02</w:t>
            </w:r>
          </w:p>
        </w:tc>
        <w:tc>
          <w:tcPr>
            <w:tcW w:w="2986" w:type="dxa"/>
            <w:vAlign w:val="center"/>
          </w:tcPr>
          <w:p w14:paraId="3C47ED55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lang w:eastAsia="zh-CN"/>
              </w:rPr>
              <w:t>血液透析干粉A/B粉产品关键技术及产业化</w:t>
            </w:r>
          </w:p>
        </w:tc>
        <w:tc>
          <w:tcPr>
            <w:tcW w:w="9480" w:type="dxa"/>
          </w:tcPr>
          <w:p w14:paraId="2E68BC9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80" w:firstLineChars="20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技术需求：1.透析干粉（血液透析浓缩液B（粉））溶解速率协调技术。匹配与调控联机透析干粉中碳酸氢钠和氯化钠的溶解速率，以提供符合透析需求的透析液。</w:t>
            </w:r>
          </w:p>
          <w:p w14:paraId="0318614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.透析干粉粒径优化与控制技术。透析干粉中粒径过大的碳酸氢钠与氯化钠溶解速率低，这些不溶性颗粒容易形成水分通道，降低水分通过干粉层的阻力，从而减少水分与干粉的接触时间，造成透析液的浓度无法达到标准要求。开发透析干粉的粒径优化与控制技术，从而控制透析液中不溶性微粒的产生。</w:t>
            </w:r>
          </w:p>
          <w:p w14:paraId="59588189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3.透析干粉低温环境速溶技术。冬季低温环境下，干粉溶解速度显著减慢，必须延长溶解时间以保证透析液浓度要求。开发干粉低温环境强化增溶技术，通过透析用水局部温度提升实现低温环境干粉加速溶解。</w:t>
            </w:r>
          </w:p>
          <w:p w14:paraId="336E4D1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4.开发预混式干粉或单剂量包装，以减少配制时间和操作复杂性。</w:t>
            </w:r>
          </w:p>
          <w:p w14:paraId="298F966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5.临床需求。（1）提高透析效果： 临床需要透析干粉能够提供更稳定的电解质浓度和pH值，以提高透析效果。（2）减少并发症：临床需求集中在减少透析相关并发症（如低血压、肌肉痉挛等），要求透析干粉具有更好的生物相容性。（3）适应特殊患者：针对儿童、老年人或特殊疾病患者（如糖尿病肾病），临床需要特定配方的透析干粉。</w:t>
            </w:r>
          </w:p>
          <w:p w14:paraId="04892E8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6.需确保产品在长期使用中不会对患者造成不良影响。</w:t>
            </w:r>
          </w:p>
        </w:tc>
      </w:tr>
      <w:tr w14:paraId="61F04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356" w:type="dxa"/>
            <w:vAlign w:val="center"/>
          </w:tcPr>
          <w:p w14:paraId="226932A7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TC-202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-03</w:t>
            </w:r>
          </w:p>
        </w:tc>
        <w:tc>
          <w:tcPr>
            <w:tcW w:w="2986" w:type="dxa"/>
            <w:vAlign w:val="center"/>
          </w:tcPr>
          <w:p w14:paraId="120141C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低熔点新材料技术研发</w:t>
            </w:r>
          </w:p>
        </w:tc>
        <w:tc>
          <w:tcPr>
            <w:tcW w:w="9480" w:type="dxa"/>
            <w:vAlign w:val="center"/>
          </w:tcPr>
          <w:p w14:paraId="554562E8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80" w:firstLineChars="200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技术需求：一种适用于高低温新材料研发，目前已攻克低熔点新材料技术，突破了VAVE技术，耐高温新材料技术问题亟待解决，意向开展新材料原理研发、样品试制、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实验测试合作。</w:t>
            </w:r>
          </w:p>
        </w:tc>
      </w:tr>
      <w:tr w14:paraId="50B04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1356" w:type="dxa"/>
            <w:vAlign w:val="center"/>
          </w:tcPr>
          <w:p w14:paraId="50BB895F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TC-202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-04</w:t>
            </w:r>
          </w:p>
        </w:tc>
        <w:tc>
          <w:tcPr>
            <w:tcW w:w="2986" w:type="dxa"/>
            <w:vAlign w:val="center"/>
          </w:tcPr>
          <w:p w14:paraId="088A5282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颗粒活性炭复合新材料研发</w:t>
            </w:r>
          </w:p>
        </w:tc>
        <w:tc>
          <w:tcPr>
            <w:tcW w:w="9480" w:type="dxa"/>
          </w:tcPr>
          <w:p w14:paraId="18118D8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80" w:firstLineChars="20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技术需求：一种用于3M口罩颗粒活性炭复合新材料的研发,该活性炭材料为纯颗粒碳吸附熔喷静电材料上，碳颗粒吸附容量好，可替代目前传统活性炭纤维布（吸附率低）。</w:t>
            </w:r>
          </w:p>
          <w:p w14:paraId="3D9D256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技术指标：夹碳无纺布克重在130gsm，含炭量75-80%</w:t>
            </w:r>
            <w:r>
              <w:rPr>
                <w:rFonts w:hint="eastAsia"/>
                <w:lang w:eastAsia="zh-CN"/>
              </w:rPr>
              <w:t>，采用细炭颗粒，除酸椰壳炭材料，防有机蒸汽及气体，目数在60-150</w:t>
            </w:r>
            <w:r>
              <w:rPr>
                <w:rFonts w:hint="eastAsia"/>
                <w:lang w:eastAsia="zh-CN"/>
              </w:rPr>
              <w:t>目。</w:t>
            </w:r>
          </w:p>
        </w:tc>
      </w:tr>
      <w:tr w14:paraId="1C694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56" w:type="dxa"/>
            <w:vAlign w:val="center"/>
          </w:tcPr>
          <w:p w14:paraId="09DBA103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TC-202</w:t>
            </w:r>
            <w:r>
              <w:rPr>
                <w:rFonts w:hint="eastAsia"/>
                <w:spacing w:val="-1"/>
                <w:lang w:eastAsia="zh-CN"/>
              </w:rPr>
              <w:t>5</w:t>
            </w:r>
            <w:r>
              <w:rPr>
                <w:spacing w:val="-1"/>
              </w:rPr>
              <w:t>-05</w:t>
            </w:r>
          </w:p>
        </w:tc>
        <w:tc>
          <w:tcPr>
            <w:tcW w:w="2986" w:type="dxa"/>
            <w:vAlign w:val="center"/>
          </w:tcPr>
          <w:p w14:paraId="669F0F0B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食品检测平台设计与开发</w:t>
            </w:r>
          </w:p>
        </w:tc>
        <w:tc>
          <w:tcPr>
            <w:tcW w:w="9480" w:type="dxa"/>
          </w:tcPr>
          <w:p w14:paraId="7F10F78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80" w:firstLineChars="20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技术需求：设计食品检测平台，重点突破大厨菜、肉制品产品的保鲜、营养升级、智能化生产控制体系。</w:t>
            </w:r>
          </w:p>
          <w:p w14:paraId="48F5E54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both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.中式菜肴工业化生产的关键技术。2.产品安全、营养、健康化核心技术升级，共同研发出健康四减绿色新产品（四减：减盐、减脂、减糖、减危害物（4R））。3.引进最新AI智能化生产与成本控制的系统和技术装备。4.产品保鲜、智能化冷链物流存在问题提升改进分析。</w:t>
            </w:r>
          </w:p>
        </w:tc>
      </w:tr>
      <w:tr w14:paraId="1D6CF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356" w:type="dxa"/>
            <w:vAlign w:val="center"/>
          </w:tcPr>
          <w:p w14:paraId="147A138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</w:rPr>
            </w:pPr>
            <w:r>
              <w:rPr>
                <w:spacing w:val="-1"/>
              </w:rPr>
              <w:t>TC-202</w:t>
            </w:r>
            <w:r>
              <w:rPr>
                <w:rFonts w:hint="eastAsia"/>
                <w:spacing w:val="-1"/>
                <w:lang w:val="en-US" w:eastAsia="zh-CN"/>
              </w:rPr>
              <w:t>5</w:t>
            </w:r>
            <w:r>
              <w:rPr>
                <w:spacing w:val="-1"/>
              </w:rPr>
              <w:t>-06</w:t>
            </w:r>
          </w:p>
        </w:tc>
        <w:tc>
          <w:tcPr>
            <w:tcW w:w="2986" w:type="dxa"/>
            <w:vAlign w:val="center"/>
          </w:tcPr>
          <w:p w14:paraId="5BB2C03E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baseline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多功能特色风味肉松关键技术及产业化</w:t>
            </w:r>
          </w:p>
        </w:tc>
        <w:tc>
          <w:tcPr>
            <w:tcW w:w="9480" w:type="dxa"/>
          </w:tcPr>
          <w:p w14:paraId="74EF5A6D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480" w:firstLineChars="200"/>
              <w:jc w:val="both"/>
              <w:textAlignment w:val="baseline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技术需求:1、肉松生产过程中美拉德反应的基础研究；2、绿色、有机产品与多功能营养健康婴童食用肉松高端产品开发；3、特色风味系列新产品开发如原味海苔鸡肉松、猪肉松、蛋黄榛子风味肉松、牛肉风味、蟹黄风味、草莓风味、坚果巧克力风味等；4、肉松生产数字信息化与工业互联网平台控制技术开发研究；5、肉松食品质量控制及保质期更持久新技术（如光电影像技术））和追溯体系研究开发；6、酥脆低脂生产工艺研究。</w:t>
            </w:r>
          </w:p>
        </w:tc>
      </w:tr>
    </w:tbl>
    <w:p w14:paraId="782AB3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0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972F7"/>
    <w:rsid w:val="0063534A"/>
    <w:rsid w:val="006562EB"/>
    <w:rsid w:val="006E142B"/>
    <w:rsid w:val="00702CF5"/>
    <w:rsid w:val="00831D92"/>
    <w:rsid w:val="00911AA8"/>
    <w:rsid w:val="009978ED"/>
    <w:rsid w:val="009A658E"/>
    <w:rsid w:val="00BA7E24"/>
    <w:rsid w:val="00C41631"/>
    <w:rsid w:val="1E0A4D56"/>
    <w:rsid w:val="3F295EDC"/>
    <w:rsid w:val="738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Title"/>
    <w:basedOn w:val="5"/>
    <w:next w:val="1"/>
    <w:qFormat/>
    <w:uiPriority w:val="0"/>
    <w:pPr>
      <w:spacing w:before="240" w:after="60"/>
      <w:jc w:val="center"/>
      <w:outlineLvl w:val="0"/>
    </w:pPr>
    <w:rPr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字符"/>
    <w:basedOn w:val="9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3">
    <w:name w:val="页脚 字符"/>
    <w:basedOn w:val="9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1478</Words>
  <Characters>1609</Characters>
  <Lines>11</Lines>
  <Paragraphs>3</Paragraphs>
  <TotalTime>9</TotalTime>
  <ScaleCrop>false</ScaleCrop>
  <LinksUpToDate>false</LinksUpToDate>
  <CharactersWithSpaces>1612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2025-03-28T08:22:00Z</dcterms:created>
  <dc:creator>軍</dc:creator>
  <cp:lastModifiedBy>jun</cp:lastModifiedBy>
  <dcterms:modified xsi:type="dcterms:W3CDTF">2025-04-08T06:31:41Z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9FFC22BA5D034DEE964D6E4AA1E79A20_11</vt:lpwstr>
  </property>
  <property fmtid="{D5CDD505-2E9C-101B-9397-08002B2CF9AE}" pid="4" name="KSOTemplateDocerSaveRecord">
    <vt:lpwstr>eyJoZGlkIjoiZjk1MjMzODM3ODcyNThkNjYxMzRlN2UyOTllNWYzYzEifQ==</vt:lpwstr>
  </property>
</Properties>
</file>