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E8B53">
      <w:pPr>
        <w:widowControl/>
        <w:snapToGrid w:val="0"/>
        <w:spacing w:line="460" w:lineRule="exact"/>
        <w:jc w:val="left"/>
        <w:outlineLvl w:val="0"/>
        <w:rPr>
          <w:rFonts w:asciiTheme="minorEastAsia" w:hAnsiTheme="minorEastAsia" w:eastAsiaTheme="minorEastAsia" w:cstheme="minorEastAsia"/>
          <w:bCs/>
          <w:iCs/>
          <w:kern w:val="0"/>
          <w:sz w:val="24"/>
          <w:szCs w:val="24"/>
        </w:rPr>
      </w:pPr>
      <w:r>
        <w:rPr>
          <w:rFonts w:hint="eastAsia" w:asciiTheme="minorEastAsia" w:hAnsiTheme="minorEastAsia" w:eastAsiaTheme="minorEastAsia" w:cstheme="minorEastAsia"/>
          <w:bCs/>
          <w:iCs/>
          <w:kern w:val="0"/>
          <w:sz w:val="24"/>
          <w:szCs w:val="24"/>
        </w:rPr>
        <w:t>附件1</w:t>
      </w:r>
    </w:p>
    <w:p w14:paraId="4E4F1DB7">
      <w:pPr>
        <w:widowControl/>
        <w:snapToGrid w:val="0"/>
        <w:spacing w:line="460" w:lineRule="exact"/>
        <w:jc w:val="center"/>
        <w:outlineLvl w:val="0"/>
        <w:rPr>
          <w:rFonts w:ascii="宋体" w:hAnsi="宋体" w:eastAsia="宋体" w:cstheme="minorEastAsia"/>
          <w:b/>
          <w:bCs/>
          <w:iCs/>
          <w:kern w:val="0"/>
          <w:sz w:val="32"/>
          <w:szCs w:val="32"/>
        </w:rPr>
      </w:pPr>
      <w:bookmarkStart w:id="2" w:name="_GoBack"/>
      <w:bookmarkStart w:id="0" w:name="OLE_LINK1"/>
      <w:r>
        <w:rPr>
          <w:rFonts w:hint="eastAsia" w:ascii="宋体" w:hAnsi="宋体" w:eastAsia="宋体" w:cstheme="minorEastAsia"/>
          <w:b/>
          <w:bCs/>
          <w:iCs/>
          <w:kern w:val="0"/>
          <w:sz w:val="32"/>
          <w:szCs w:val="32"/>
        </w:rPr>
        <w:t>中国高校产学研创新基金</w:t>
      </w:r>
      <w:bookmarkEnd w:id="0"/>
      <w:r>
        <w:rPr>
          <w:rFonts w:hint="eastAsia" w:ascii="宋体" w:hAnsi="宋体" w:eastAsia="宋体" w:cstheme="minorEastAsia"/>
          <w:b/>
          <w:bCs/>
          <w:iCs/>
          <w:kern w:val="0"/>
          <w:sz w:val="32"/>
          <w:szCs w:val="32"/>
        </w:rPr>
        <w:t>-AI赋能行业创新专项</w:t>
      </w:r>
    </w:p>
    <w:p w14:paraId="2A43C774">
      <w:pPr>
        <w:widowControl/>
        <w:snapToGrid w:val="0"/>
        <w:spacing w:after="156" w:afterLines="50" w:line="460" w:lineRule="exact"/>
        <w:jc w:val="center"/>
        <w:outlineLvl w:val="0"/>
        <w:rPr>
          <w:rFonts w:ascii="宋体" w:hAnsi="宋体" w:eastAsia="宋体" w:cstheme="minorEastAsia"/>
          <w:b/>
          <w:bCs/>
          <w:iCs/>
          <w:kern w:val="0"/>
          <w:sz w:val="32"/>
          <w:szCs w:val="32"/>
        </w:rPr>
      </w:pPr>
      <w:r>
        <w:rPr>
          <w:rFonts w:hint="eastAsia" w:ascii="宋体" w:hAnsi="宋体" w:eastAsia="宋体" w:cstheme="minorEastAsia"/>
          <w:b/>
          <w:bCs/>
          <w:iCs/>
          <w:kern w:val="0"/>
          <w:sz w:val="32"/>
          <w:szCs w:val="32"/>
        </w:rPr>
        <w:t>申请指南说明</w:t>
      </w:r>
      <w:bookmarkEnd w:id="2"/>
    </w:p>
    <w:p w14:paraId="19830BF5">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关于申报2025年中国高校产学研创新基金的通知》（教科发中心函〔2025〕3号)的相关要求，教育部高等学校科学研究发展中心与杭州水务数智科技股份有限公司、杭州铮铭信息科技有限公司联合设立“中国高校产学研创新基金-AI赋能行业创新专项”，支持高校开展教育、水利水务、医疗、应急管理等领域的AI应用创新，</w:t>
      </w:r>
      <w:r>
        <w:rPr>
          <w:rFonts w:hint="eastAsia" w:asciiTheme="minorEastAsia" w:hAnsiTheme="minorEastAsia" w:eastAsiaTheme="minorEastAsia" w:cstheme="minorEastAsia"/>
          <w:sz w:val="24"/>
          <w:szCs w:val="24"/>
          <w:lang w:bidi="ar"/>
        </w:rPr>
        <w:t>通过AI技术提升行业效能，服务社会需求，同时</w:t>
      </w:r>
      <w:r>
        <w:rPr>
          <w:rFonts w:hint="eastAsia" w:asciiTheme="minorEastAsia" w:hAnsiTheme="minorEastAsia" w:eastAsiaTheme="minorEastAsia" w:cstheme="minorEastAsia"/>
          <w:sz w:val="24"/>
          <w:szCs w:val="24"/>
        </w:rPr>
        <w:t>助力科技成果转化及行业数字化转型。</w:t>
      </w:r>
    </w:p>
    <w:p w14:paraId="6C9F5123">
      <w:pPr>
        <w:widowControl/>
        <w:snapToGrid w:val="0"/>
        <w:spacing w:before="312" w:beforeLines="100" w:line="460" w:lineRule="exact"/>
        <w:ind w:firstLine="562" w:firstLineChars="200"/>
        <w:outlineLvl w:val="1"/>
        <w:rPr>
          <w:rFonts w:asciiTheme="minorEastAsia" w:hAnsiTheme="minorEastAsia" w:eastAsiaTheme="minorEastAsia" w:cstheme="minorEastAsia"/>
          <w:b/>
          <w:bCs/>
          <w:iCs/>
          <w:kern w:val="0"/>
          <w:sz w:val="28"/>
          <w:szCs w:val="28"/>
        </w:rPr>
      </w:pPr>
      <w:r>
        <w:rPr>
          <w:rFonts w:hint="eastAsia" w:asciiTheme="minorEastAsia" w:hAnsiTheme="minorEastAsia" w:eastAsiaTheme="minorEastAsia" w:cstheme="minorEastAsia"/>
          <w:b/>
          <w:bCs/>
          <w:iCs/>
          <w:kern w:val="0"/>
          <w:sz w:val="28"/>
          <w:szCs w:val="28"/>
        </w:rPr>
        <w:t>一、课题说明</w:t>
      </w:r>
    </w:p>
    <w:p w14:paraId="0354D57C">
      <w:pPr>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1.“AI赋能行业创新专项”</w:t>
      </w:r>
      <w:r>
        <w:rPr>
          <w:rFonts w:hint="eastAsia" w:asciiTheme="minorEastAsia" w:hAnsiTheme="minorEastAsia" w:eastAsiaTheme="minorEastAsia" w:cstheme="minorEastAsia"/>
          <w:sz w:val="24"/>
          <w:szCs w:val="24"/>
          <w:lang w:bidi="ar"/>
        </w:rPr>
        <w:t>面向全国遴选合作高校及高校附属单位，聚焦通过AI技术提升行业效能、服务社会需求，以创新应用驱动教育变革与人才培养模式革新，加速科技成果转化，助力行业数字化转型与发展。</w:t>
      </w:r>
    </w:p>
    <w:p w14:paraId="10181A43">
      <w:pPr>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2.“AI赋能行业创新专项”的申请截止时间为</w:t>
      </w:r>
      <w:r>
        <w:rPr>
          <w:rFonts w:hint="eastAsia" w:asciiTheme="minorEastAsia" w:hAnsiTheme="minorEastAsia" w:eastAsiaTheme="minorEastAsia" w:cstheme="minorEastAsia"/>
          <w:color w:val="000000" w:themeColor="text1"/>
          <w:sz w:val="24"/>
          <w:szCs w:val="24"/>
          <w14:textFill>
            <w14:solidFill>
              <w14:schemeClr w14:val="tx1"/>
            </w14:solidFill>
          </w14:textFill>
        </w:rPr>
        <w:t>2025年12月25日。计划执行时间为2026年4月1日～2027年3月31日，可根据课题复杂程</w:t>
      </w:r>
      <w:r>
        <w:rPr>
          <w:rFonts w:hint="eastAsia" w:asciiTheme="minorEastAsia" w:hAnsiTheme="minorEastAsia" w:eastAsiaTheme="minorEastAsia" w:cstheme="minorEastAsia"/>
          <w:sz w:val="24"/>
          <w:szCs w:val="24"/>
        </w:rPr>
        <w:t>度适度延长执行周期，最长不超过两年。</w:t>
      </w:r>
    </w:p>
    <w:p w14:paraId="7EA4B4BC">
      <w:pPr>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3.“AI赋能行业创新专项”为每个立项课题提供总经费10万元至50万元的课题研究经费及科研软硬件平台支持，其中课题研究经费5万元至25万元。</w:t>
      </w:r>
    </w:p>
    <w:p w14:paraId="3FC6513C">
      <w:pPr>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4.“AI赋能行业创新专项”基金课题的选题方向见表一，申请人选择课题方向进行申报。基金课题提供的相关技术、应用和软硬件平台见表二。</w:t>
      </w:r>
    </w:p>
    <w:p w14:paraId="608A3A4C">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表一 “AI赋能行业创新专项”选题列表</w:t>
      </w:r>
    </w:p>
    <w:tbl>
      <w:tblPr>
        <w:tblStyle w:val="5"/>
        <w:tblW w:w="5149"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436"/>
        <w:gridCol w:w="6642"/>
      </w:tblGrid>
      <w:tr w14:paraId="74C2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60" w:type="pct"/>
            <w:tcBorders>
              <w:top w:val="single" w:color="auto" w:sz="4" w:space="0"/>
              <w:left w:val="single" w:color="auto" w:sz="4" w:space="0"/>
              <w:bottom w:val="single" w:color="auto" w:sz="4" w:space="0"/>
              <w:right w:val="single" w:color="auto" w:sz="4" w:space="0"/>
            </w:tcBorders>
            <w:shd w:val="clear" w:color="auto" w:fill="BFBFBF"/>
            <w:vAlign w:val="center"/>
          </w:tcPr>
          <w:p w14:paraId="2FF5595B">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课题方向编号</w:t>
            </w:r>
          </w:p>
        </w:tc>
        <w:tc>
          <w:tcPr>
            <w:tcW w:w="789"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597B52C0">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w:t>
            </w:r>
          </w:p>
        </w:tc>
        <w:tc>
          <w:tcPr>
            <w:tcW w:w="3651" w:type="pct"/>
            <w:tcBorders>
              <w:top w:val="single" w:color="auto" w:sz="4" w:space="0"/>
              <w:left w:val="single" w:color="auto" w:sz="4" w:space="0"/>
              <w:bottom w:val="single" w:color="auto" w:sz="4" w:space="0"/>
              <w:right w:val="single" w:color="auto" w:sz="4" w:space="0"/>
            </w:tcBorders>
            <w:shd w:val="clear" w:color="auto" w:fill="BFBFBF"/>
            <w:vAlign w:val="center"/>
          </w:tcPr>
          <w:p w14:paraId="05D967D0">
            <w:pPr>
              <w:spacing w:line="320" w:lineRule="exact"/>
              <w:ind w:left="-107" w:leftChars="-51"/>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课题研究内容</w:t>
            </w:r>
          </w:p>
        </w:tc>
      </w:tr>
      <w:tr w14:paraId="65D7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3F087F24">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A01</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E4A3D">
            <w:pPr>
              <w:widowControl/>
              <w:spacing w:line="300" w:lineRule="exac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AI与数字化赋能教育领域应用创新</w:t>
            </w:r>
          </w:p>
        </w:tc>
        <w:tc>
          <w:tcPr>
            <w:tcW w:w="3651" w:type="pct"/>
            <w:tcBorders>
              <w:top w:val="single" w:color="auto" w:sz="4" w:space="0"/>
              <w:left w:val="single" w:color="auto" w:sz="4" w:space="0"/>
              <w:bottom w:val="single" w:color="auto" w:sz="4" w:space="0"/>
              <w:right w:val="single" w:color="auto" w:sz="4" w:space="0"/>
            </w:tcBorders>
            <w:vAlign w:val="center"/>
          </w:tcPr>
          <w:p w14:paraId="53B073A4">
            <w:pPr>
              <w:spacing w:line="300" w:lineRule="exact"/>
              <w:ind w:firstLine="402"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学科/专业/产教融合大模型的应用与落地：</w:t>
            </w:r>
            <w:r>
              <w:rPr>
                <w:rFonts w:hint="eastAsia" w:asciiTheme="minorEastAsia" w:hAnsiTheme="minorEastAsia" w:eastAsiaTheme="minorEastAsia" w:cstheme="minorEastAsia"/>
                <w:sz w:val="20"/>
                <w:szCs w:val="20"/>
                <w:lang w:bidi="ar"/>
              </w:rPr>
              <w:t>结合本校在优势/特色学科专业方面的积淀，或是在产教融合领域的突出优势（紧密契合所对应的地区、产业、行业等特色），以及研究者自身擅长的领域与方向，</w:t>
            </w:r>
            <w:r>
              <w:rPr>
                <w:rFonts w:hint="eastAsia" w:asciiTheme="minorEastAsia" w:hAnsiTheme="minorEastAsia" w:eastAsiaTheme="minorEastAsia" w:cstheme="minorEastAsia"/>
                <w:sz w:val="20"/>
                <w:szCs w:val="20"/>
              </w:rPr>
              <w:t>深入探索落地学科/专业/产教融合大模型的示范性应用和创新实践。</w:t>
            </w:r>
          </w:p>
          <w:p w14:paraId="4DB9E060">
            <w:pPr>
              <w:spacing w:line="300" w:lineRule="exact"/>
              <w:ind w:firstLine="402"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智慧课程建设实践与探索</w:t>
            </w: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hint="eastAsia" w:asciiTheme="minorEastAsia" w:hAnsiTheme="minorEastAsia" w:eastAsiaTheme="minorEastAsia" w:cstheme="minorEastAsia"/>
                <w:sz w:val="20"/>
                <w:szCs w:val="20"/>
              </w:rPr>
              <w:t>研究内容包括但不限于智慧课程教学场景的创新、教师和学生授课模式的探索、AI与不同教学模型结合（项目式、体验式、探究式等）、AI自主学习空间的探索、智慧课程常态化教学实践、学生个性化学习路径和画像的构建、智能体在智慧课程中的典型场景应用、师-机-生三元协同模式的探索。</w:t>
            </w:r>
          </w:p>
          <w:p w14:paraId="7FCC9902">
            <w:pPr>
              <w:spacing w:line="300" w:lineRule="exact"/>
              <w:ind w:firstLine="402"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AI与数字化赋能人才培养多业务场景探索与实践</w:t>
            </w: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hint="eastAsia" w:asciiTheme="minorEastAsia" w:hAnsiTheme="minorEastAsia" w:eastAsiaTheme="minorEastAsia" w:cstheme="minorEastAsia"/>
                <w:sz w:val="20"/>
                <w:szCs w:val="20"/>
                <w:lang w:bidi="ar"/>
              </w:rPr>
              <w:t>研究内容包括但不限于</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未来学习中心、产学合作人工智能教育创新实验室、</w:t>
            </w:r>
            <w:r>
              <w:rPr>
                <w:rFonts w:hint="eastAsia" w:asciiTheme="minorEastAsia" w:hAnsiTheme="minorEastAsia" w:eastAsiaTheme="minorEastAsia" w:cstheme="minorEastAsia"/>
                <w:sz w:val="20"/>
                <w:szCs w:val="20"/>
                <w:lang w:bidi="ar"/>
              </w:rPr>
              <w:t>虚拟教研室、有组织科研、AI招生、AI就业、AI论文修改审核、AI思政党建、AI自主学习空间等场景的典型应用与创新实践。</w:t>
            </w:r>
          </w:p>
          <w:p w14:paraId="05D9947C">
            <w:pPr>
              <w:spacing w:line="300" w:lineRule="exact"/>
              <w:ind w:firstLine="402"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AI与数字化赋能教师发展</w:t>
            </w:r>
            <w:r>
              <w:rPr>
                <w:rFonts w:hint="eastAsia" w:asciiTheme="minorEastAsia" w:hAnsiTheme="minorEastAsia" w:eastAsiaTheme="minorEastAsia" w:cstheme="minorEastAsia"/>
                <w:b/>
                <w:bCs/>
                <w:iCs/>
                <w:sz w:val="20"/>
                <w:szCs w:val="20"/>
              </w:rPr>
              <w:t>研究与应用：</w:t>
            </w:r>
            <w:r>
              <w:rPr>
                <w:rFonts w:hint="eastAsia" w:asciiTheme="minorEastAsia" w:hAnsiTheme="minorEastAsia" w:eastAsiaTheme="minorEastAsia" w:cstheme="minorEastAsia"/>
                <w:sz w:val="20"/>
                <w:szCs w:val="20"/>
                <w:lang w:bidi="ar"/>
              </w:rPr>
              <w:t>研究内容包括但不限于教师数字与人工智能素养提升研究与应用、智能研训室建设升级研究、智慧教育中心建设研究、数字课堂建设研究、教师发展大模型研究与实践、教师发展模式数字转型研究与实践、教师发展服务管理全流程数字化探索与实践、数字教育教师国际合作模式创新与实践等典型场景。</w:t>
            </w:r>
          </w:p>
          <w:p w14:paraId="0CE91B2C">
            <w:pPr>
              <w:spacing w:line="300" w:lineRule="exact"/>
              <w:ind w:firstLine="402"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b/>
                <w:bCs/>
                <w:sz w:val="20"/>
                <w:szCs w:val="20"/>
                <w:lang w:bidi="ar"/>
              </w:rPr>
              <w:t>教师（教学）档案袋制度落地研究：</w:t>
            </w:r>
            <w:r>
              <w:rPr>
                <w:rFonts w:hint="eastAsia" w:asciiTheme="minorEastAsia" w:hAnsiTheme="minorEastAsia" w:eastAsiaTheme="minorEastAsia" w:cstheme="minorEastAsia"/>
                <w:sz w:val="20"/>
                <w:szCs w:val="20"/>
                <w:lang w:bidi="ar"/>
              </w:rPr>
              <w:t>研究内容包括但不限于高等教育、职业教育领域教师（教学）档案袋制度的落地实践与路径探索；数字化、智能化的教师（教学）档案袋创新设计与应用实践；深入探究如何通过档案袋制度增强教师自我反思与主动发展意识等。</w:t>
            </w:r>
          </w:p>
        </w:tc>
      </w:tr>
      <w:tr w14:paraId="44FC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7FB51D63">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A02</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4C196C">
            <w:pPr>
              <w:widowControl/>
              <w:spacing w:line="300" w:lineRule="exact"/>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智能体与多智能体协同在教育领域的典型应用探索与实践</w:t>
            </w:r>
          </w:p>
        </w:tc>
        <w:tc>
          <w:tcPr>
            <w:tcW w:w="3651" w:type="pct"/>
            <w:tcBorders>
              <w:top w:val="single" w:color="auto" w:sz="4" w:space="0"/>
              <w:left w:val="single" w:color="auto" w:sz="4" w:space="0"/>
              <w:bottom w:val="single" w:color="auto" w:sz="4" w:space="0"/>
              <w:right w:val="single" w:color="auto" w:sz="4" w:space="0"/>
            </w:tcBorders>
            <w:vAlign w:val="center"/>
          </w:tcPr>
          <w:p w14:paraId="7A920A30">
            <w:pPr>
              <w:widowControl/>
              <w:spacing w:line="300" w:lineRule="exact"/>
              <w:ind w:firstLine="400" w:firstLineChars="200"/>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bidi="ar"/>
              </w:rPr>
              <w:t>全面探索智能体或智能体协同在教育领域典型场景中的创新实践。</w:t>
            </w:r>
            <w:r>
              <w:rPr>
                <w:rFonts w:hint="eastAsia" w:asciiTheme="minorEastAsia" w:hAnsiTheme="minorEastAsia" w:eastAsiaTheme="minorEastAsia" w:cstheme="minorEastAsia"/>
                <w:sz w:val="20"/>
                <w:szCs w:val="20"/>
              </w:rPr>
              <w:t>研究内容包括但不限于如下典型场景应用：</w:t>
            </w:r>
          </w:p>
          <w:p w14:paraId="78472F2A">
            <w:pPr>
              <w:widowControl/>
              <w:spacing w:line="300" w:lineRule="exact"/>
              <w:jc w:val="left"/>
              <w:rPr>
                <w:rFonts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1、</w:t>
            </w:r>
            <w:r>
              <w:rPr>
                <w:rFonts w:hint="eastAsia" w:asciiTheme="minorEastAsia" w:hAnsiTheme="minorEastAsia" w:eastAsiaTheme="minorEastAsia" w:cstheme="minorEastAsia"/>
                <w:b/>
                <w:bCs/>
                <w:color w:val="000000"/>
                <w:kern w:val="0"/>
                <w:sz w:val="20"/>
                <w:szCs w:val="20"/>
                <w:lang w:bidi="ar"/>
              </w:rPr>
              <w:t>教育教学</w:t>
            </w:r>
            <w:r>
              <w:rPr>
                <w:rFonts w:hint="eastAsia" w:asciiTheme="minorEastAsia" w:hAnsiTheme="minorEastAsia" w:eastAsiaTheme="minorEastAsia" w:cstheme="minorEastAsia"/>
                <w:sz w:val="20"/>
                <w:szCs w:val="20"/>
              </w:rPr>
              <w:t>（多智能体协同超级建课、智能备课、智能教案生成、课堂互动方案生成、授课素材生成、智能批改作业、智能阅卷、毕业论文智能指导等）。</w:t>
            </w:r>
          </w:p>
          <w:p w14:paraId="10BDB595">
            <w:pPr>
              <w:widowControl/>
              <w:spacing w:line="3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bidi="ar"/>
              </w:rPr>
              <w:t>2、</w:t>
            </w:r>
            <w:r>
              <w:rPr>
                <w:rFonts w:hint="eastAsia" w:asciiTheme="minorEastAsia" w:hAnsiTheme="minorEastAsia" w:eastAsiaTheme="minorEastAsia" w:cstheme="minorEastAsia"/>
                <w:b/>
                <w:bCs/>
                <w:color w:val="000000"/>
                <w:kern w:val="0"/>
                <w:sz w:val="20"/>
                <w:szCs w:val="20"/>
                <w:lang w:bidi="ar"/>
              </w:rPr>
              <w:t>科学研究</w:t>
            </w:r>
            <w:r>
              <w:rPr>
                <w:rFonts w:hint="eastAsia" w:asciiTheme="minorEastAsia" w:hAnsiTheme="minorEastAsia" w:eastAsiaTheme="minorEastAsia" w:cstheme="minorEastAsia"/>
                <w:sz w:val="20"/>
                <w:szCs w:val="20"/>
              </w:rPr>
              <w:t>（智能论文选题指导、智能科研论文润色、智能科研论文内容评估与修改建议等）。</w:t>
            </w:r>
          </w:p>
          <w:p w14:paraId="4F0D5BC5">
            <w:pPr>
              <w:widowControl/>
              <w:spacing w:line="300" w:lineRule="exact"/>
              <w:jc w:val="left"/>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color w:val="000000"/>
                <w:kern w:val="0"/>
                <w:sz w:val="20"/>
                <w:szCs w:val="20"/>
                <w:lang w:bidi="ar"/>
              </w:rPr>
              <w:t>3、</w:t>
            </w:r>
            <w:r>
              <w:rPr>
                <w:rFonts w:hint="eastAsia" w:asciiTheme="minorEastAsia" w:hAnsiTheme="minorEastAsia" w:eastAsiaTheme="minorEastAsia" w:cstheme="minorEastAsia"/>
                <w:b/>
                <w:bCs/>
                <w:color w:val="000000"/>
                <w:kern w:val="0"/>
                <w:sz w:val="20"/>
                <w:szCs w:val="20"/>
                <w:lang w:bidi="ar"/>
              </w:rPr>
              <w:t>管理机制</w:t>
            </w:r>
            <w:r>
              <w:rPr>
                <w:rFonts w:hint="eastAsia" w:asciiTheme="minorEastAsia" w:hAnsiTheme="minorEastAsia" w:eastAsiaTheme="minorEastAsia" w:cstheme="minorEastAsia"/>
                <w:color w:val="000000"/>
                <w:kern w:val="0"/>
                <w:sz w:val="20"/>
                <w:szCs w:val="20"/>
                <w:lang w:bidi="ar"/>
              </w:rPr>
              <w:t>（例，</w:t>
            </w: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信息化管理：数据输入输出的AI自动化审核、自动化网络安全研判与响应等</w:t>
            </w:r>
            <w:r>
              <w:rPr>
                <w:rFonts w:hint="eastAsia" w:asciiTheme="minorEastAsia" w:hAnsiTheme="minorEastAsia" w:eastAsiaTheme="minorEastAsia" w:cstheme="minorEastAsia"/>
                <w:color w:val="000000"/>
                <w:kern w:val="0"/>
                <w:sz w:val="20"/>
                <w:szCs w:val="20"/>
                <w:lang w:bidi="ar"/>
              </w:rPr>
              <w:t>；人事管理：AI招聘系统、教师个性化培训建议等；财务管理：智能风险评估、预算编制和报表分析等；采购招标管理：AI自动化处理文件，评估供应商等）</w:t>
            </w:r>
            <w:r>
              <w:rPr>
                <w:rFonts w:hint="eastAsia" w:asciiTheme="minorEastAsia" w:hAnsiTheme="minorEastAsia" w:eastAsiaTheme="minorEastAsia" w:cstheme="minorEastAsia"/>
                <w:b/>
                <w:bCs/>
                <w:sz w:val="20"/>
                <w:szCs w:val="20"/>
              </w:rPr>
              <w:t>。</w:t>
            </w:r>
          </w:p>
          <w:p w14:paraId="0F810243">
            <w:pPr>
              <w:widowControl/>
              <w:spacing w:line="300" w:lineRule="exact"/>
              <w:jc w:val="left"/>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color w:val="000000"/>
                <w:kern w:val="0"/>
                <w:sz w:val="20"/>
                <w:szCs w:val="20"/>
                <w:lang w:bidi="ar"/>
              </w:rPr>
              <w:t>4、</w:t>
            </w:r>
            <w:r>
              <w:rPr>
                <w:rFonts w:hint="eastAsia" w:asciiTheme="minorEastAsia" w:hAnsiTheme="minorEastAsia" w:eastAsiaTheme="minorEastAsia" w:cstheme="minorEastAsia"/>
                <w:b/>
                <w:bCs/>
                <w:color w:val="000000"/>
                <w:kern w:val="0"/>
                <w:sz w:val="20"/>
                <w:szCs w:val="20"/>
                <w:lang w:bidi="ar"/>
              </w:rPr>
              <w:t>学科升级</w:t>
            </w:r>
            <w:r>
              <w:rPr>
                <w:rFonts w:hint="eastAsia" w:asciiTheme="minorEastAsia" w:hAnsiTheme="minorEastAsia" w:eastAsiaTheme="minorEastAsia" w:cstheme="minorEastAsia"/>
                <w:color w:val="000000"/>
                <w:kern w:val="0"/>
                <w:sz w:val="20"/>
                <w:szCs w:val="20"/>
                <w:lang w:bidi="ar"/>
              </w:rPr>
              <w:t>（新工科、新医科、新农科、新文科等）。</w:t>
            </w:r>
          </w:p>
          <w:p w14:paraId="53374C30">
            <w:pPr>
              <w:widowControl/>
              <w:spacing w:line="300" w:lineRule="exact"/>
              <w:jc w:val="left"/>
              <w:rPr>
                <w:rFonts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5、</w:t>
            </w:r>
            <w:r>
              <w:rPr>
                <w:rFonts w:hint="eastAsia" w:asciiTheme="minorEastAsia" w:hAnsiTheme="minorEastAsia" w:eastAsiaTheme="minorEastAsia" w:cstheme="minorEastAsia"/>
                <w:b/>
                <w:bCs/>
                <w:color w:val="000000"/>
                <w:kern w:val="0"/>
                <w:sz w:val="20"/>
                <w:szCs w:val="20"/>
                <w:lang w:bidi="ar"/>
              </w:rPr>
              <w:t>学生就业</w:t>
            </w:r>
            <w:r>
              <w:rPr>
                <w:rFonts w:hint="eastAsia" w:asciiTheme="minorEastAsia" w:hAnsiTheme="minorEastAsia" w:eastAsiaTheme="minorEastAsia" w:cstheme="minorEastAsia"/>
                <w:color w:val="000000"/>
                <w:kern w:val="0"/>
                <w:sz w:val="20"/>
                <w:szCs w:val="20"/>
                <w:lang w:bidi="ar"/>
              </w:rPr>
              <w:t>（简历优化、智能就业辅导等）。</w:t>
            </w:r>
          </w:p>
          <w:p w14:paraId="52F69A43">
            <w:pPr>
              <w:widowControl/>
              <w:spacing w:line="300" w:lineRule="exact"/>
              <w:jc w:val="left"/>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lang w:bidi="ar"/>
              </w:rPr>
              <w:t>此研究方向除上述列举场景外，大力鼓励申报团队挖掘新场景并开展实践创新。</w:t>
            </w:r>
          </w:p>
        </w:tc>
      </w:tr>
      <w:tr w14:paraId="11BB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4E429002">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A03</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6821A">
            <w:pPr>
              <w:spacing w:line="300" w:lineRule="exac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智慧校园新基建实践与创新</w:t>
            </w:r>
          </w:p>
        </w:tc>
        <w:tc>
          <w:tcPr>
            <w:tcW w:w="3651" w:type="pct"/>
            <w:tcBorders>
              <w:top w:val="single" w:color="auto" w:sz="4" w:space="0"/>
              <w:left w:val="single" w:color="auto" w:sz="4" w:space="0"/>
              <w:bottom w:val="single" w:color="auto" w:sz="4" w:space="0"/>
              <w:right w:val="single" w:color="auto" w:sz="4" w:space="0"/>
            </w:tcBorders>
            <w:vAlign w:val="center"/>
          </w:tcPr>
          <w:p w14:paraId="060287F1">
            <w:pPr>
              <w:spacing w:line="300" w:lineRule="exact"/>
              <w:ind w:firstLine="400" w:firstLineChars="200"/>
              <w:rPr>
                <w:rFonts w:asciiTheme="minorEastAsia" w:hAnsiTheme="minorEastAsia" w:eastAsiaTheme="minorEastAsia" w:cstheme="minorEastAsia"/>
                <w:b/>
                <w:bCs/>
                <w:color w:val="000000" w:themeColor="text1"/>
                <w:sz w:val="20"/>
                <w:szCs w:val="20"/>
                <w14:textFill>
                  <w14:solidFill>
                    <w14:schemeClr w14:val="tx1"/>
                  </w14:solidFill>
                </w14:textFill>
              </w:rPr>
            </w:pPr>
            <w:r>
              <w:rPr>
                <w:rFonts w:hint="eastAsia" w:asciiTheme="minorEastAsia" w:hAnsiTheme="minorEastAsia" w:eastAsiaTheme="minorEastAsia" w:cstheme="minorEastAsia"/>
                <w:sz w:val="20"/>
                <w:szCs w:val="20"/>
                <w:lang w:bidi="ar"/>
              </w:rPr>
              <w:t>结合教育数字化转型战略，深度探索智慧校园新基建多业务场景的实践路径与创新模式，研究内容包括但不限于数据湖仓一体化建设、智能安防、智能档案建设、国产化升级、网络（数据）安全体系构建、网络安全运营、大数据安全分析审计、智算中心、超算中心、5G双域专网、智慧机房等典型场景应用创新实践。</w:t>
            </w:r>
          </w:p>
        </w:tc>
      </w:tr>
      <w:tr w14:paraId="59D4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04988BF0">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A04</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E8B91">
            <w:pPr>
              <w:spacing w:line="300" w:lineRule="exac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水利水务全场景智能模型研发与应用创新</w:t>
            </w:r>
          </w:p>
        </w:tc>
        <w:tc>
          <w:tcPr>
            <w:tcW w:w="3651" w:type="pct"/>
            <w:tcBorders>
              <w:top w:val="single" w:color="auto" w:sz="4" w:space="0"/>
              <w:left w:val="single" w:color="auto" w:sz="4" w:space="0"/>
              <w:bottom w:val="single" w:color="auto" w:sz="4" w:space="0"/>
              <w:right w:val="single" w:color="auto" w:sz="4" w:space="0"/>
            </w:tcBorders>
            <w:vAlign w:val="center"/>
          </w:tcPr>
          <w:p w14:paraId="2E97384D">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供水智能调度场景实践创新：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基于多源异构数据融合分析技术，构建供水资源动态调配模型，实现水资源供需平衡的智能建议决策支持。</w:t>
            </w:r>
          </w:p>
          <w:p w14:paraId="26087721">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水厂生产全流程优化实践创新：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研发智能曝气、智能加药控制模型、运行效能评估模型、工艺参数优化模型等系列算法，实时精准调控曝气量，在确保污水处理出水水质达标的前提下，最大限度降低曝气能耗并提升系统运行效率，建立从进水到出水的全流程智能调控决策体系。</w:t>
            </w:r>
          </w:p>
          <w:p w14:paraId="1CE29C04">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管网健康度智能评估体系实践创新：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融合听漏检测、流量压力监测与深度学习技术，开发管网漏损定位模型、管材老化预测模型、爆管风险预警模型，构建可视化管网健康图谱。基于管道的基本属性和水力特性，分析各因素对供水管道健康的影响，并构建评价指标体系。</w:t>
            </w:r>
          </w:p>
          <w:p w14:paraId="75AB967E">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水质安全多维度保障场景实践创新：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建立原水水质突变预警模型、过程水质预测模型，形成从源头到龙头的全链条水质安全保障系统。基于大量水质监测数据的收集与分析，构建水质预测模型，可用于进行水质的预警预报等，预测水质状况，为供水水质管理和保护提供科学依据。</w:t>
            </w:r>
          </w:p>
          <w:p w14:paraId="71C31277">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水文水动力模型场景：</w:t>
            </w:r>
            <w:r>
              <w:rPr>
                <w:rFonts w:hint="eastAsia" w:asciiTheme="minorEastAsia" w:hAnsiTheme="minorEastAsia" w:eastAsiaTheme="minorEastAsia" w:cstheme="minorEastAsia"/>
                <w:color w:val="000000" w:themeColor="text1"/>
                <w:sz w:val="20"/>
                <w:szCs w:val="20"/>
                <w14:textFill>
                  <w14:solidFill>
                    <w14:schemeClr w14:val="tx1"/>
                  </w14:solidFill>
                </w14:textFill>
              </w:rPr>
              <w:t>通过水文水动力模型与大语言模型加持，构建一二维耦合水文水动力模型，直观展示小流域洪水演进，动态评估淹没风险。</w:t>
            </w:r>
          </w:p>
          <w:p w14:paraId="3425858D">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智能配泵场景：</w:t>
            </w:r>
            <w:r>
              <w:rPr>
                <w:rFonts w:hint="eastAsia" w:asciiTheme="minorEastAsia" w:hAnsiTheme="minorEastAsia" w:eastAsiaTheme="minorEastAsia" w:cstheme="minorEastAsia"/>
                <w:color w:val="000000" w:themeColor="text1"/>
                <w:sz w:val="20"/>
                <w:szCs w:val="20"/>
                <w14:textFill>
                  <w14:solidFill>
                    <w14:schemeClr w14:val="tx1"/>
                  </w14:solidFill>
                </w14:textFill>
              </w:rPr>
              <w:t>依托泵组特性，设备运行参数，液位、压力、流量、能耗等数据结合用水需求预测，进行泵组性能建模，研发智能配泵模型，优化泵组启停组合与频率，响应流量与水位变化，降低电耗并延长设备寿命，避免泵井溢流或空转。</w:t>
            </w:r>
          </w:p>
          <w:p w14:paraId="1E8812AD">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智慧水利多业务场景探索与实践：</w:t>
            </w:r>
            <w:r>
              <w:rPr>
                <w:rFonts w:hint="eastAsia" w:asciiTheme="minorEastAsia" w:hAnsiTheme="minorEastAsia" w:eastAsiaTheme="minorEastAsia" w:cstheme="minorEastAsia"/>
                <w:color w:val="000000" w:themeColor="text1"/>
                <w:sz w:val="20"/>
                <w:szCs w:val="20"/>
                <w14:textFill>
                  <w14:solidFill>
                    <w14:schemeClr w14:val="tx1"/>
                  </w14:solidFill>
                </w14:textFill>
              </w:rPr>
              <w:t>研究内容包括但不限于研发适应不同灌区供水特点，不同作物的智能灌溉系统（灌溉智能预报模型和灌溉专家决策系统）、智慧水库（坝体安全检测模型、水库数字化建设）、流域数字化（堤塘安全检测模型、水资源调度模型）等。</w:t>
            </w:r>
          </w:p>
        </w:tc>
      </w:tr>
      <w:tr w14:paraId="0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25357531">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A05</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3E456">
            <w:pPr>
              <w:spacing w:line="300" w:lineRule="exac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AI大语言模型在水务垂直领域深度应用探索</w:t>
            </w:r>
          </w:p>
        </w:tc>
        <w:tc>
          <w:tcPr>
            <w:tcW w:w="3651" w:type="pct"/>
            <w:tcBorders>
              <w:top w:val="single" w:color="auto" w:sz="4" w:space="0"/>
              <w:left w:val="single" w:color="auto" w:sz="4" w:space="0"/>
              <w:bottom w:val="single" w:color="auto" w:sz="4" w:space="0"/>
              <w:right w:val="single" w:color="auto" w:sz="4" w:space="0"/>
            </w:tcBorders>
            <w:vAlign w:val="center"/>
          </w:tcPr>
          <w:p w14:paraId="6C9DC8DA">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AI+水务知识引擎构建：</w:t>
            </w:r>
            <w:r>
              <w:rPr>
                <w:rFonts w:hint="eastAsia" w:asciiTheme="minorEastAsia" w:hAnsiTheme="minorEastAsia" w:eastAsiaTheme="minorEastAsia" w:cstheme="minorEastAsia"/>
                <w:color w:val="000000" w:themeColor="text1"/>
                <w:sz w:val="20"/>
                <w:szCs w:val="20"/>
                <w14:textFill>
                  <w14:solidFill>
                    <w14:schemeClr w14:val="tx1"/>
                  </w14:solidFill>
                </w14:textFill>
              </w:rPr>
              <w:t>基于行业语料库训练水务专用大语言模型，开发智能法规解读、技术标准查询、事故案例库等知识服务模块。</w:t>
            </w:r>
          </w:p>
          <w:p w14:paraId="082E280D">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AI+智能运维助手场景实践创新：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构建设备故障诊断智能体、运维工单智能体、应急方案推荐智能体，实现运维知识库的动态更新与智能推送。</w:t>
            </w:r>
          </w:p>
          <w:p w14:paraId="6C24AA15">
            <w:pPr>
              <w:spacing w:line="300" w:lineRule="exact"/>
              <w:ind w:firstLine="402"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AI+水利水务决策支持场景实践创新：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研究调度建议生成智能体、应急预案推演智能体，支持水利水务管理人员的多场景决策需求。</w:t>
            </w:r>
          </w:p>
          <w:p w14:paraId="78A9A1F7">
            <w:pPr>
              <w:spacing w:line="300" w:lineRule="exact"/>
              <w:ind w:firstLine="402" w:firstLineChars="200"/>
              <w:rPr>
                <w:rFonts w:asciiTheme="minorEastAsia" w:hAnsiTheme="minorEastAsia" w:eastAsiaTheme="minorEastAsia" w:cstheme="minorEastAsia"/>
                <w:b/>
                <w:bCs/>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AI+用水公共服务创新：</w:t>
            </w:r>
            <w:r>
              <w:rPr>
                <w:rFonts w:hint="eastAsia" w:asciiTheme="minorEastAsia" w:hAnsiTheme="minorEastAsia" w:eastAsiaTheme="minorEastAsia" w:cstheme="minorEastAsia"/>
                <w:color w:val="000000" w:themeColor="text1"/>
                <w:sz w:val="20"/>
                <w:szCs w:val="20"/>
                <w14:textFill>
                  <w14:solidFill>
                    <w14:schemeClr w14:val="tx1"/>
                  </w14:solidFill>
                </w14:textFill>
              </w:rPr>
              <w:t>用户用水行为数据结合AI大语言模型研发用水行为AI分析模型，提升水务用水公共服务质量。</w:t>
            </w:r>
          </w:p>
        </w:tc>
      </w:tr>
      <w:tr w14:paraId="4308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29CAE635">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A06</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14818">
            <w:pPr>
              <w:spacing w:line="30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AI赋能医学教育科研领域创新</w:t>
            </w:r>
          </w:p>
        </w:tc>
        <w:tc>
          <w:tcPr>
            <w:tcW w:w="3651" w:type="pct"/>
            <w:tcBorders>
              <w:top w:val="single" w:color="auto" w:sz="4" w:space="0"/>
              <w:left w:val="single" w:color="auto" w:sz="4" w:space="0"/>
              <w:bottom w:val="single" w:color="auto" w:sz="4" w:space="0"/>
              <w:right w:val="single" w:color="auto" w:sz="4" w:space="0"/>
            </w:tcBorders>
            <w:vAlign w:val="center"/>
          </w:tcPr>
          <w:p w14:paraId="1EFDEAE2">
            <w:pPr>
              <w:widowControl/>
              <w:spacing w:line="300" w:lineRule="exact"/>
              <w:ind w:firstLine="402" w:firstLineChars="200"/>
              <w:jc w:val="left"/>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iCs/>
                <w:sz w:val="20"/>
                <w:szCs w:val="20"/>
              </w:rPr>
              <w:t>详细要求可参考国家卫生健康委员会印发的《卫生健康行业人工智能应用场景参考指引》</w:t>
            </w:r>
          </w:p>
          <w:p w14:paraId="0F51B199">
            <w:pPr>
              <w:spacing w:line="300" w:lineRule="exact"/>
              <w:ind w:firstLine="400" w:firstLineChars="200"/>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研究内容包含但不限于医学教育虚拟人（患者、专家、医学生等角色）、名医思想智能传承、智慧课程数字教材建设实践创新、医学生个性化学习、临床思维培养、医学教育智能辅助、医学教育资源智能生成、智能医学科普、科研智能辅助、医学科研智能管理、智能文献挖掘分析、智能医学科研数据分析、地方特色医学AI创新（藏医、蒙医、傣医等）、地方病预防诊治教研AI创新、职业病预防诊治教研AI创新、全民健康素养提升等等场景。</w:t>
            </w:r>
          </w:p>
        </w:tc>
      </w:tr>
      <w:tr w14:paraId="067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081991D3">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A07</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47335">
            <w:pPr>
              <w:spacing w:line="300" w:lineRule="exac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AI与数字化赋能医疗新基建实践与创新</w:t>
            </w:r>
          </w:p>
        </w:tc>
        <w:tc>
          <w:tcPr>
            <w:tcW w:w="3651" w:type="pct"/>
            <w:tcBorders>
              <w:top w:val="single" w:color="auto" w:sz="4" w:space="0"/>
              <w:left w:val="single" w:color="auto" w:sz="4" w:space="0"/>
              <w:bottom w:val="single" w:color="auto" w:sz="4" w:space="0"/>
              <w:right w:val="single" w:color="auto" w:sz="4" w:space="0"/>
            </w:tcBorders>
            <w:vAlign w:val="center"/>
          </w:tcPr>
          <w:p w14:paraId="5C7CDBB8">
            <w:pPr>
              <w:widowControl/>
              <w:spacing w:line="300" w:lineRule="exact"/>
              <w:ind w:firstLine="402" w:firstLineChars="200"/>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rPr>
              <w:t>大模型在医疗健康机构的应用场景实践与创新：</w:t>
            </w:r>
            <w:r>
              <w:rPr>
                <w:rFonts w:hint="eastAsia" w:asciiTheme="minorEastAsia" w:hAnsiTheme="minorEastAsia" w:eastAsiaTheme="minorEastAsia" w:cstheme="minorEastAsia"/>
                <w:sz w:val="20"/>
                <w:szCs w:val="20"/>
              </w:rPr>
              <w:t>deepseek、通义千问等大模型在医疗健康机构（医院、社区卫生服务中心、诊所、康复中心）的应用场景发掘与实践，包含但不限于临床专病智能辅助决策、基层全科医生智能辅助决策、中医临床智能辅助诊疗、智能随访等，需实质性解决医院管理者管理难题、实质性减轻医务工作者工作重担。</w:t>
            </w:r>
          </w:p>
          <w:p w14:paraId="53077389">
            <w:pPr>
              <w:spacing w:line="300" w:lineRule="exact"/>
              <w:ind w:firstLine="402"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rPr>
              <w:t>智慧医院新基建实践与创新：</w:t>
            </w:r>
            <w:r>
              <w:rPr>
                <w:rFonts w:hint="eastAsia" w:asciiTheme="minorEastAsia" w:hAnsiTheme="minorEastAsia" w:eastAsiaTheme="minorEastAsia" w:cstheme="minorEastAsia"/>
                <w:sz w:val="20"/>
                <w:szCs w:val="20"/>
                <w:lang w:bidi="ar"/>
              </w:rPr>
              <w:t>深度探索智慧医院新基建多业务场景的实践路径与创新模式，研究内容包括但不限于</w:t>
            </w:r>
            <w:r>
              <w:rPr>
                <w:rFonts w:hint="eastAsia" w:asciiTheme="minorEastAsia" w:hAnsiTheme="minorEastAsia" w:eastAsiaTheme="minorEastAsia" w:cstheme="minorEastAsia"/>
                <w:color w:val="000000" w:themeColor="text1"/>
                <w:sz w:val="20"/>
                <w:szCs w:val="20"/>
                <w14:textFill>
                  <w14:solidFill>
                    <w14:schemeClr w14:val="tx1"/>
                  </w14:solidFill>
                </w14:textFill>
              </w:rPr>
              <w:t>数据湖仓一体化建设</w:t>
            </w:r>
            <w:r>
              <w:rPr>
                <w:rFonts w:hint="eastAsia" w:asciiTheme="minorEastAsia" w:hAnsiTheme="minorEastAsia" w:eastAsiaTheme="minorEastAsia" w:cstheme="minorEastAsia"/>
                <w:sz w:val="20"/>
                <w:szCs w:val="20"/>
              </w:rPr>
              <w:t>、电子病历智能生成、智能安防、智能档案建设、网络（数据）安全体系构建、网络安全运营、大数据安全分析审计、国产化升级、</w:t>
            </w:r>
            <w:r>
              <w:rPr>
                <w:rFonts w:hint="eastAsia" w:asciiTheme="minorEastAsia" w:hAnsiTheme="minorEastAsia" w:eastAsiaTheme="minorEastAsia" w:cstheme="minorEastAsia"/>
                <w:sz w:val="20"/>
                <w:szCs w:val="20"/>
                <w:lang w:bidi="ar"/>
              </w:rPr>
              <w:t>智算中心、超算中心、智慧机房等典型场景应用创新实践。</w:t>
            </w:r>
          </w:p>
        </w:tc>
      </w:tr>
      <w:tr w14:paraId="4290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4C4F4B80">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A08</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E6AE9">
            <w:pPr>
              <w:spacing w:line="300" w:lineRule="exact"/>
              <w:rPr>
                <w:rFonts w:asciiTheme="minorEastAsia" w:hAnsiTheme="minorEastAsia" w:eastAsiaTheme="minorEastAsia" w:cstheme="minorEastAsia"/>
                <w:color w:val="000000" w:themeColor="text1"/>
                <w:sz w:val="20"/>
                <w:szCs w:val="20"/>
                <w:shd w:val="clear" w:color="auto" w:fill="FFFF0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应急管理领域</w:t>
            </w:r>
            <w:r>
              <w:rPr>
                <w:rFonts w:hint="eastAsia" w:asciiTheme="minorEastAsia" w:hAnsiTheme="minorEastAsia" w:eastAsiaTheme="minorEastAsia" w:cstheme="minorEastAsia"/>
                <w:sz w:val="20"/>
                <w:szCs w:val="20"/>
              </w:rPr>
              <w:t>AI示范性应用创新</w:t>
            </w:r>
          </w:p>
        </w:tc>
        <w:tc>
          <w:tcPr>
            <w:tcW w:w="3651" w:type="pct"/>
            <w:tcBorders>
              <w:top w:val="single" w:color="auto" w:sz="4" w:space="0"/>
              <w:left w:val="single" w:color="auto" w:sz="4" w:space="0"/>
              <w:bottom w:val="single" w:color="auto" w:sz="4" w:space="0"/>
              <w:right w:val="single" w:color="auto" w:sz="4" w:space="0"/>
            </w:tcBorders>
            <w:vAlign w:val="center"/>
          </w:tcPr>
          <w:p w14:paraId="0B47285E">
            <w:pPr>
              <w:spacing w:line="300" w:lineRule="exact"/>
              <w:ind w:firstLine="400" w:firstLineChars="200"/>
              <w:rPr>
                <w:rFonts w:asciiTheme="minorEastAsia" w:hAnsiTheme="minorEastAsia" w:eastAsiaTheme="minorEastAsia" w:cstheme="minorEastAsia"/>
                <w:b/>
                <w:bCs/>
                <w:sz w:val="20"/>
                <w:szCs w:val="20"/>
              </w:rPr>
            </w:pPr>
            <w:r>
              <w:rPr>
                <w:rFonts w:hint="eastAsia" w:ascii="宋体" w:hAnsi="宋体" w:eastAsia="宋体"/>
                <w:sz w:val="20"/>
                <w:szCs w:val="20"/>
              </w:rPr>
              <w:t>结合研究者自身情况，深入探索落地应急管理行业AI示范性应用和创新实践。</w:t>
            </w:r>
          </w:p>
        </w:tc>
      </w:tr>
      <w:tr w14:paraId="5D60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pct"/>
            <w:tcBorders>
              <w:top w:val="single" w:color="auto" w:sz="4" w:space="0"/>
              <w:left w:val="single" w:color="auto" w:sz="4" w:space="0"/>
              <w:bottom w:val="single" w:color="auto" w:sz="4" w:space="0"/>
              <w:right w:val="single" w:color="auto" w:sz="4" w:space="0"/>
            </w:tcBorders>
            <w:vAlign w:val="center"/>
          </w:tcPr>
          <w:p w14:paraId="21DD5B62">
            <w:pPr>
              <w:spacing w:line="300" w:lineRule="exact"/>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A09</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A1865">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其他</w:t>
            </w:r>
          </w:p>
        </w:tc>
        <w:tc>
          <w:tcPr>
            <w:tcW w:w="3651" w:type="pct"/>
            <w:tcBorders>
              <w:top w:val="single" w:color="auto" w:sz="4" w:space="0"/>
              <w:left w:val="single" w:color="auto" w:sz="4" w:space="0"/>
              <w:bottom w:val="single" w:color="auto" w:sz="4" w:space="0"/>
              <w:right w:val="single" w:color="auto" w:sz="4" w:space="0"/>
            </w:tcBorders>
            <w:vAlign w:val="center"/>
          </w:tcPr>
          <w:p w14:paraId="3680C531">
            <w:pPr>
              <w:widowControl/>
              <w:spacing w:line="300" w:lineRule="exact"/>
              <w:ind w:firstLine="400" w:firstLineChars="200"/>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依托人工智能、大模型、半导体等新一代信息技术，结合自身技术与资源优势，自主选择以下研究方向进行申报。</w:t>
            </w:r>
          </w:p>
          <w:p w14:paraId="36F1CC0E">
            <w:pPr>
              <w:widowControl/>
              <w:spacing w:line="300" w:lineRule="exact"/>
              <w:ind w:firstLine="402" w:firstLineChars="200"/>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color w:val="000000"/>
                <w:kern w:val="0"/>
                <w:sz w:val="20"/>
                <w:szCs w:val="20"/>
              </w:rPr>
              <w:t>其他领域AI应用创新与实践：</w:t>
            </w:r>
            <w:r>
              <w:rPr>
                <w:rFonts w:hint="eastAsia" w:asciiTheme="minorEastAsia" w:hAnsiTheme="minorEastAsia" w:eastAsiaTheme="minorEastAsia" w:cstheme="minorEastAsia"/>
                <w:sz w:val="20"/>
                <w:szCs w:val="20"/>
              </w:rPr>
              <w:t>低空经济、电力、能源等行业领域深入探索行业垂直AI应用的示范场景与创新实践。</w:t>
            </w:r>
          </w:p>
          <w:p w14:paraId="227AB4D6">
            <w:pPr>
              <w:spacing w:line="300" w:lineRule="exact"/>
              <w:ind w:firstLine="402"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color w:val="000000"/>
                <w:kern w:val="0"/>
                <w:sz w:val="20"/>
                <w:szCs w:val="20"/>
              </w:rPr>
              <w:t>AI前沿技术研究：</w:t>
            </w:r>
            <w:r>
              <w:rPr>
                <w:rFonts w:hint="eastAsia" w:asciiTheme="minorEastAsia" w:hAnsiTheme="minorEastAsia" w:eastAsiaTheme="minorEastAsia" w:cstheme="minorEastAsia"/>
                <w:color w:val="000000"/>
                <w:kern w:val="0"/>
                <w:sz w:val="20"/>
                <w:szCs w:val="20"/>
              </w:rPr>
              <w:t>研究内容包含但不限于</w:t>
            </w:r>
            <w:r>
              <w:rPr>
                <w:rFonts w:hint="eastAsia" w:asciiTheme="minorEastAsia" w:hAnsiTheme="minorEastAsia" w:eastAsiaTheme="minorEastAsia" w:cstheme="minorEastAsia"/>
                <w:sz w:val="20"/>
                <w:szCs w:val="20"/>
              </w:rPr>
              <w:t>多模态知识图谱的跨模态知识推理与应用研究、多模态知识图谱的动态更新与知识融合优化研究、多模态大模型的高效训练优化与资源利用研究、多模态大模型在垂直领域的个性化微调与性能提升研究、数字虚拟人的多模态交互情感表达与用户体验优化研究、数字虚拟人的自主学习与持续进化能力研究。</w:t>
            </w:r>
          </w:p>
        </w:tc>
      </w:tr>
    </w:tbl>
    <w:p w14:paraId="07D866C5">
      <w:pPr>
        <w:widowControl/>
        <w:spacing w:line="460" w:lineRule="exact"/>
        <w:contextualSpacing/>
        <w:jc w:val="left"/>
        <w:outlineLvl w:val="1"/>
        <w:rPr>
          <w:rFonts w:asciiTheme="minorEastAsia" w:hAnsiTheme="minorEastAsia" w:eastAsiaTheme="minorEastAsia" w:cstheme="minorEastAsia"/>
          <w:b/>
          <w:bCs/>
          <w:iCs/>
          <w:kern w:val="0"/>
          <w:sz w:val="28"/>
        </w:rPr>
      </w:pPr>
    </w:p>
    <w:p w14:paraId="6436D676">
      <w:pPr>
        <w:widowControl/>
        <w:spacing w:line="460" w:lineRule="exact"/>
        <w:ind w:firstLine="560" w:firstLineChars="200"/>
        <w:contextualSpacing/>
        <w:jc w:val="left"/>
        <w:outlineLvl w:val="1"/>
        <w:rPr>
          <w:rFonts w:ascii="微软雅黑" w:hAnsi="微软雅黑" w:eastAsia="微软雅黑" w:cstheme="minorEastAsia"/>
          <w:b/>
          <w:bCs/>
          <w:iCs/>
          <w:kern w:val="0"/>
          <w:sz w:val="28"/>
          <w:szCs w:val="28"/>
        </w:rPr>
      </w:pPr>
      <w:r>
        <w:rPr>
          <w:rFonts w:hint="eastAsia" w:ascii="微软雅黑" w:hAnsi="微软雅黑" w:eastAsia="微软雅黑" w:cstheme="minorEastAsia"/>
          <w:b/>
          <w:bCs/>
          <w:iCs/>
          <w:kern w:val="0"/>
          <w:sz w:val="28"/>
          <w:szCs w:val="28"/>
        </w:rPr>
        <w:t>二、申报条件和要求</w:t>
      </w:r>
    </w:p>
    <w:p w14:paraId="1BC31EE3">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团队成员在选定的项目研究方向有较好的技术储备，包括与申报课题研究内容相关的研究成果、教材、论文、专利、获奖等。</w:t>
      </w:r>
    </w:p>
    <w:p w14:paraId="04CC7472">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团队组成合理，分工明确，数量不少于3人。</w:t>
      </w:r>
    </w:p>
    <w:p w14:paraId="0A885ABC">
      <w:pPr>
        <w:widowControl/>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 优先支持已经设立相关前沿专业/学科，或已经成立相关研究中心的院校。</w:t>
      </w:r>
    </w:p>
    <w:p w14:paraId="4EBB85AA">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优先支持已开展或制定相关研究计划，且致力于行业AI应用创新与人才培养模式探索、行业数字化智慧化转型业务模式创新的团队。</w:t>
      </w:r>
    </w:p>
    <w:p w14:paraId="69B6754C">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优先支持研究内容有创造性、前瞻性和实用性，有可转化前景的课题。</w:t>
      </w:r>
    </w:p>
    <w:p w14:paraId="51521F04">
      <w:pPr>
        <w:spacing w:line="460" w:lineRule="exact"/>
        <w:ind w:firstLine="480" w:firstLineChars="200"/>
        <w:contextualSpacing/>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6. 优先支持有明确研究成果，成果有应用价值，可复制、可推广的课题。</w:t>
      </w:r>
    </w:p>
    <w:p w14:paraId="2CB99BEA">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优先支持研究方向明确，研究内容详实，研究方案完整可行的课题。</w:t>
      </w:r>
    </w:p>
    <w:p w14:paraId="3DEFF20A">
      <w:pPr>
        <w:spacing w:line="46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7C2F6B1">
      <w:pPr>
        <w:spacing w:line="460" w:lineRule="exact"/>
        <w:ind w:firstLine="480" w:firstLineChars="200"/>
        <w:contextualSpacing/>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 资助课题项目获得的知识产权由合作方和课题项目承担单位共同所有；</w:t>
      </w:r>
    </w:p>
    <w:p w14:paraId="3F309392">
      <w:pPr>
        <w:spacing w:line="460" w:lineRule="exact"/>
        <w:ind w:firstLine="480" w:firstLineChars="200"/>
        <w:contextualSpacing/>
        <w:rPr>
          <w:rFonts w:eastAsia="PMingLiU" w:asciiTheme="minorEastAsia" w:hAnsiTheme="minorEastAsia" w:cstheme="minorEastAsia"/>
          <w:sz w:val="24"/>
          <w:szCs w:val="24"/>
          <w:lang w:val="zh-TW" w:eastAsia="zh-TW"/>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TW"/>
        </w:rPr>
        <w:t>课题</w:t>
      </w:r>
      <w:r>
        <w:rPr>
          <w:rFonts w:hint="eastAsia" w:asciiTheme="minorEastAsia" w:hAnsiTheme="minorEastAsia" w:eastAsiaTheme="minorEastAsia" w:cstheme="minorEastAsia"/>
          <w:sz w:val="24"/>
          <w:szCs w:val="24"/>
          <w:lang w:val="zh-TW" w:eastAsia="zh-TW"/>
        </w:rPr>
        <w:t>组在项目开展过程中，需具备可独立支配的研究基础软硬件条件</w:t>
      </w:r>
      <w:r>
        <w:rPr>
          <w:rFonts w:hint="eastAsia" w:asciiTheme="minorEastAsia" w:hAnsiTheme="minorEastAsia" w:eastAsiaTheme="minorEastAsia" w:cstheme="minorEastAsia"/>
          <w:sz w:val="24"/>
          <w:szCs w:val="24"/>
          <w:lang w:val="zh-TW"/>
        </w:rPr>
        <w:t>，</w:t>
      </w:r>
      <w:r>
        <w:rPr>
          <w:rFonts w:hint="eastAsia" w:asciiTheme="minorEastAsia" w:hAnsiTheme="minorEastAsia" w:eastAsiaTheme="minorEastAsia" w:cstheme="minorEastAsia"/>
          <w:sz w:val="24"/>
          <w:szCs w:val="24"/>
          <w:lang w:val="zh-TW" w:eastAsia="zh-TW"/>
        </w:rPr>
        <w:t>如需外部资源支持，须在项目申报书中明确指出。</w:t>
      </w:r>
    </w:p>
    <w:p w14:paraId="1CB525D9">
      <w:pPr>
        <w:spacing w:line="460" w:lineRule="exact"/>
        <w:ind w:firstLine="480" w:firstLineChars="200"/>
        <w:contextualSpacing/>
        <w:rPr>
          <w:rFonts w:hint="eastAsia" w:eastAsia="PMingLiU" w:asciiTheme="minorEastAsia" w:hAnsiTheme="minorEastAsia" w:cstheme="minorEastAsia"/>
          <w:sz w:val="24"/>
          <w:szCs w:val="24"/>
          <w:lang w:val="zh-TW" w:eastAsia="zh-TW"/>
        </w:rPr>
      </w:pPr>
    </w:p>
    <w:p w14:paraId="538A9F2E">
      <w:pPr>
        <w:widowControl/>
        <w:spacing w:line="460" w:lineRule="exact"/>
        <w:ind w:firstLine="560" w:firstLineChars="200"/>
        <w:contextualSpacing/>
        <w:jc w:val="left"/>
        <w:outlineLvl w:val="1"/>
        <w:rPr>
          <w:rFonts w:ascii="微软雅黑" w:hAnsi="微软雅黑" w:eastAsia="微软雅黑" w:cstheme="minorEastAsia"/>
          <w:b/>
          <w:bCs/>
          <w:iCs/>
          <w:kern w:val="0"/>
          <w:sz w:val="28"/>
        </w:rPr>
      </w:pPr>
      <w:r>
        <w:rPr>
          <w:rFonts w:hint="eastAsia" w:ascii="微软雅黑" w:hAnsi="微软雅黑" w:eastAsia="微软雅黑" w:cstheme="minorEastAsia"/>
          <w:b/>
          <w:bCs/>
          <w:iCs/>
          <w:kern w:val="0"/>
          <w:sz w:val="28"/>
        </w:rPr>
        <w:t>三、资源及服务</w:t>
      </w:r>
    </w:p>
    <w:p w14:paraId="276C6384">
      <w:pPr>
        <w:widowControl/>
        <w:spacing w:line="460" w:lineRule="exact"/>
        <w:ind w:firstLine="480" w:firstLineChars="200"/>
        <w:rPr>
          <w:rFonts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kern w:val="0"/>
          <w:sz w:val="24"/>
          <w:szCs w:val="24"/>
        </w:rPr>
        <w:t>针对入选合作院校，基金将提供完善的资源和服务体系，以保证院校顺利开展合作课题，并为院校在</w:t>
      </w:r>
      <w:r>
        <w:rPr>
          <w:rFonts w:hint="eastAsia" w:asciiTheme="minorEastAsia" w:hAnsiTheme="minorEastAsia" w:eastAsiaTheme="minorEastAsia" w:cstheme="minorEastAsia"/>
          <w:sz w:val="24"/>
          <w:szCs w:val="24"/>
        </w:rPr>
        <w:t>教育、水利水务、医疗、应急管理等行业领域的深度垂直应用创新</w:t>
      </w:r>
      <w:r>
        <w:rPr>
          <w:rFonts w:hint="eastAsia" w:asciiTheme="minorEastAsia" w:hAnsiTheme="minorEastAsia" w:eastAsiaTheme="minorEastAsia" w:cstheme="minorEastAsia"/>
          <w:kern w:val="0"/>
          <w:sz w:val="24"/>
          <w:szCs w:val="24"/>
        </w:rPr>
        <w:t>提供有效的支持，复旦大学宁波研究院提供技术支持。</w:t>
      </w:r>
    </w:p>
    <w:p w14:paraId="38C8928A">
      <w:pPr>
        <w:widowControl/>
        <w:adjustRightInd w:val="0"/>
        <w:snapToGrid w:val="0"/>
        <w:spacing w:line="46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AI赋能行业创新专项</w:t>
      </w:r>
      <w:r>
        <w:rPr>
          <w:rFonts w:hint="eastAsia" w:asciiTheme="minorEastAsia" w:hAnsiTheme="minorEastAsia" w:eastAsiaTheme="minorEastAsia" w:cstheme="minorEastAsia"/>
          <w:kern w:val="0"/>
          <w:sz w:val="24"/>
          <w:szCs w:val="24"/>
        </w:rPr>
        <w:t>”为每个立项课题提供对应的研究经费及科研软硬件平台支持，为申报团队提供创新项目选题指导，并根据需求开展服务校方等工作。</w:t>
      </w:r>
    </w:p>
    <w:p w14:paraId="760DDEB3">
      <w:pPr>
        <w:widowControl/>
        <w:spacing w:line="46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 </w:t>
      </w:r>
      <w:r>
        <w:rPr>
          <w:rFonts w:hint="eastAsia" w:asciiTheme="minorEastAsia" w:hAnsiTheme="minorEastAsia" w:eastAsiaTheme="minorEastAsia" w:cstheme="minorEastAsia"/>
          <w:sz w:val="24"/>
          <w:szCs w:val="24"/>
        </w:rPr>
        <w:t>基金课题</w:t>
      </w:r>
      <w:r>
        <w:rPr>
          <w:rFonts w:hint="eastAsia" w:asciiTheme="minorEastAsia" w:hAnsiTheme="minorEastAsia" w:eastAsiaTheme="minorEastAsia" w:cstheme="minorEastAsia"/>
          <w:kern w:val="0"/>
          <w:sz w:val="24"/>
          <w:szCs w:val="24"/>
        </w:rPr>
        <w:t>发起单位将辅助、联合申报院校申报新的科研课题，提供项目咨询服务和技术支持，辅助科研成果的快速产品化及解决方案的包装。</w:t>
      </w:r>
    </w:p>
    <w:p w14:paraId="4ABAF572">
      <w:pPr>
        <w:widowControl/>
        <w:spacing w:after="156" w:afterLines="50" w:line="500" w:lineRule="exact"/>
        <w:jc w:val="center"/>
        <w:rPr>
          <w:rFonts w:asciiTheme="minorEastAsia" w:hAnsiTheme="minorEastAsia" w:eastAsiaTheme="minorEastAsia" w:cstheme="minorEastAsia"/>
          <w:b/>
          <w:iCs/>
          <w:kern w:val="0"/>
          <w:sz w:val="24"/>
          <w:szCs w:val="24"/>
        </w:rPr>
      </w:pPr>
      <w:bookmarkStart w:id="1" w:name="_Hlk102639735"/>
      <w:r>
        <w:rPr>
          <w:rFonts w:hint="eastAsia" w:asciiTheme="minorEastAsia" w:hAnsiTheme="minorEastAsia" w:eastAsiaTheme="minorEastAsia" w:cstheme="minorEastAsia"/>
          <w:b/>
          <w:iCs/>
          <w:kern w:val="0"/>
          <w:sz w:val="24"/>
          <w:szCs w:val="24"/>
        </w:rPr>
        <w:t>表二 提供给课题研究的软硬件平台说明</w:t>
      </w:r>
    </w:p>
    <w:bookmarkEnd w:id="1"/>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095"/>
      </w:tblGrid>
      <w:tr w14:paraId="5BBB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9" w:type="dxa"/>
            <w:shd w:val="clear" w:color="000000" w:fill="C0C0C0"/>
            <w:vAlign w:val="center"/>
          </w:tcPr>
          <w:p w14:paraId="2F419281">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平台编号</w:t>
            </w:r>
          </w:p>
        </w:tc>
        <w:tc>
          <w:tcPr>
            <w:tcW w:w="1985" w:type="dxa"/>
            <w:shd w:val="clear" w:color="000000" w:fill="C0C0C0"/>
            <w:vAlign w:val="center"/>
          </w:tcPr>
          <w:p w14:paraId="19864F8E">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软硬件服务名称</w:t>
            </w:r>
          </w:p>
        </w:tc>
        <w:tc>
          <w:tcPr>
            <w:tcW w:w="6095" w:type="dxa"/>
            <w:shd w:val="clear" w:color="000000" w:fill="C0C0C0"/>
            <w:vAlign w:val="center"/>
          </w:tcPr>
          <w:p w14:paraId="54313247">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详细介绍</w:t>
            </w:r>
          </w:p>
        </w:tc>
      </w:tr>
      <w:tr w14:paraId="0F46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73324975">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B01</w:t>
            </w:r>
          </w:p>
        </w:tc>
        <w:tc>
          <w:tcPr>
            <w:tcW w:w="1985" w:type="dxa"/>
            <w:shd w:val="clear" w:color="auto" w:fill="auto"/>
            <w:vAlign w:val="center"/>
          </w:tcPr>
          <w:p w14:paraId="4BD1D453">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AI智慧课程平台</w:t>
            </w:r>
          </w:p>
        </w:tc>
        <w:tc>
          <w:tcPr>
            <w:tcW w:w="6095" w:type="dxa"/>
            <w:shd w:val="clear" w:color="auto" w:fill="auto"/>
            <w:vAlign w:val="center"/>
          </w:tcPr>
          <w:p w14:paraId="7EBD7116">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智慧课程管理和建设平台，以结构化的体系赋能智慧课程建设，同时也支持模块化配置对接已有平台。平台支持教师端和学生端账号管理、AI课程构建空间、AI教学互动空间、AI知识图谱空间、AI作业测验空间、AI量规评价空间、AI自主学习空间等多种场景，同时融合直播互动、多师课堂、便签、批注、共享编辑等多种协作功能，为教师的教学场景和教学模式创新提供丰富的工具素材，并结合智能体为教师提供完善的AI建课工具素材、AI课堂互动工具素材，AI课程评价工具素材。</w:t>
            </w:r>
          </w:p>
          <w:p w14:paraId="11E4D1ED">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47B6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00C14F8A">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B02</w:t>
            </w:r>
          </w:p>
        </w:tc>
        <w:tc>
          <w:tcPr>
            <w:tcW w:w="1985" w:type="dxa"/>
            <w:shd w:val="clear" w:color="auto" w:fill="auto"/>
            <w:vAlign w:val="center"/>
          </w:tcPr>
          <w:p w14:paraId="200B0716">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AI教科研创新平台</w:t>
            </w:r>
          </w:p>
        </w:tc>
        <w:tc>
          <w:tcPr>
            <w:tcW w:w="6095" w:type="dxa"/>
            <w:shd w:val="clear" w:color="auto" w:fill="auto"/>
            <w:vAlign w:val="center"/>
          </w:tcPr>
          <w:p w14:paraId="3BDC0D65">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教科研创新平台，赋能学校在教育教学、未来学习中心以及多业务场景的探索和实践。平台提供AI辅助备课、AI辅助教学、AI辅助科研、AI辅助督导教研、虚拟教研室、AI等场景，并提供可自由缩放无限延伸的数字画布空间作为能力承载，支持上传包括PPT、Word、pdf、音视频等多种类型的资源，并提供丰富的工具供老师和学生做内容创作，提供嵌入的音视频会议能力，以及嵌入智能体工作流的能力，赋能师生协同共创，同时提供AI小助手，帮助生成论文概要、思维导图，AI论文润色，授课文档PPT、会议纪要等多种场景。</w:t>
            </w:r>
          </w:p>
          <w:p w14:paraId="27559CDC">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3977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7C79AEAC">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B03</w:t>
            </w:r>
          </w:p>
        </w:tc>
        <w:tc>
          <w:tcPr>
            <w:tcW w:w="1985" w:type="dxa"/>
            <w:shd w:val="clear" w:color="auto" w:fill="auto"/>
            <w:vAlign w:val="center"/>
          </w:tcPr>
          <w:p w14:paraId="1E7F4503">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AI人才培养多场景创新平台</w:t>
            </w:r>
          </w:p>
        </w:tc>
        <w:tc>
          <w:tcPr>
            <w:tcW w:w="6095" w:type="dxa"/>
            <w:shd w:val="clear" w:color="auto" w:fill="auto"/>
            <w:vAlign w:val="center"/>
          </w:tcPr>
          <w:p w14:paraId="45DB920D">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AI人才培养多场景创新平台，帮助学校打造人工智能赋能全场景的未来学校。平台提供提升教师招聘效率的AI招聘空间、提升学生求职能力的AI就业空间、提升教师论文素养的AI论文空间、管理党组关系的AI思政党建空间等。</w:t>
            </w:r>
          </w:p>
          <w:p w14:paraId="637D9ACD">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54F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129" w:type="dxa"/>
            <w:shd w:val="clear" w:color="auto" w:fill="auto"/>
            <w:vAlign w:val="center"/>
          </w:tcPr>
          <w:p w14:paraId="1BAB87FF">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B04</w:t>
            </w:r>
          </w:p>
        </w:tc>
        <w:tc>
          <w:tcPr>
            <w:tcW w:w="1985" w:type="dxa"/>
            <w:shd w:val="clear" w:color="auto" w:fill="auto"/>
            <w:vAlign w:val="center"/>
          </w:tcPr>
          <w:p w14:paraId="35299558">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智慧教师（教学）档案袋系统</w:t>
            </w:r>
          </w:p>
        </w:tc>
        <w:tc>
          <w:tcPr>
            <w:tcW w:w="6095" w:type="dxa"/>
            <w:shd w:val="clear" w:color="auto" w:fill="auto"/>
            <w:vAlign w:val="center"/>
          </w:tcPr>
          <w:p w14:paraId="3C9011C4">
            <w:pPr>
              <w:widowControl/>
              <w:spacing w:line="300" w:lineRule="exact"/>
              <w:ind w:firstLine="400" w:firstLineChars="200"/>
              <w:jc w:val="left"/>
              <w:rPr>
                <w:rFonts w:ascii="宋体" w:hAnsi="宋体" w:eastAsia="宋体" w:cstheme="minorEastAsia"/>
                <w:sz w:val="20"/>
                <w:szCs w:val="20"/>
              </w:rPr>
            </w:pPr>
            <w:r>
              <w:rPr>
                <w:rFonts w:hint="eastAsia" w:ascii="宋体" w:hAnsi="宋体" w:eastAsia="宋体" w:cstheme="minorEastAsia"/>
                <w:sz w:val="20"/>
                <w:szCs w:val="20"/>
                <w:lang w:bidi="ar"/>
              </w:rPr>
              <w:t>提供智慧教师（教学）档案袋系统，以教师教学档案袋为核心，同步涵盖培训、科研、竞赛等多元档案内容；能搭建教师（教学）评价体系，助力学校落地多层级联动的教师教学档案袋制度；可构建“实践→反思→调整→再实践”的成长闭环，增强教师自我反思与主动发展意识；还提供个性化档案设计空间，提升教师在教育教学、科研等领域的创新能力；同时依托AI全过程赋能，推动档案袋从“静态材料”向“动态成长平台”转型，切实践行教育数字化转型战略。</w:t>
            </w:r>
          </w:p>
          <w:p w14:paraId="785CAD0F">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1728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334C54CC">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B05</w:t>
            </w:r>
          </w:p>
        </w:tc>
        <w:tc>
          <w:tcPr>
            <w:tcW w:w="1985" w:type="dxa"/>
            <w:shd w:val="clear" w:color="auto" w:fill="auto"/>
            <w:vAlign w:val="center"/>
          </w:tcPr>
          <w:p w14:paraId="6564B466">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智能体协作平台</w:t>
            </w:r>
          </w:p>
        </w:tc>
        <w:tc>
          <w:tcPr>
            <w:tcW w:w="6095" w:type="dxa"/>
            <w:shd w:val="clear" w:color="auto" w:fill="auto"/>
            <w:vAlign w:val="center"/>
          </w:tcPr>
          <w:p w14:paraId="236BBCF0">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零代码智能体构建平台，赋能学校人工智能场景构建和素养提升。可对接多种大模型，并搭建本地知识库，提供不少于20个通用智能体，并提供智能体工作流的人机互动能力，基于可视化的拖拽界面设计复杂的流程场景，通过拖拽和组合多个智能体、多个素材元素，形成链条式的工作流，调整智能体提示词，实现生成包含但不限于文字、图片、思维导图、便签、网页等结果，支持老师和学生零代码构建专属的智能体工作流。</w:t>
            </w:r>
          </w:p>
          <w:p w14:paraId="70889031">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30BC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0A8124C8">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B06</w:t>
            </w:r>
          </w:p>
        </w:tc>
        <w:tc>
          <w:tcPr>
            <w:tcW w:w="1985" w:type="dxa"/>
            <w:shd w:val="clear" w:color="auto" w:fill="auto"/>
            <w:vAlign w:val="center"/>
          </w:tcPr>
          <w:p w14:paraId="69912897">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智慧水厂管理系统</w:t>
            </w:r>
          </w:p>
        </w:tc>
        <w:tc>
          <w:tcPr>
            <w:tcW w:w="6095" w:type="dxa"/>
            <w:shd w:val="clear" w:color="auto" w:fill="auto"/>
            <w:vAlign w:val="center"/>
          </w:tcPr>
          <w:p w14:paraId="5B45015D">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智能可视化的水厂综合运营管理平台，以自动化设备与数字孪生技术为核心，实现生产调度数字化、运营管控精细化，通过智能预测模型优化工艺控制，提升水厂运行效率与响应速度，推动水厂向少人化、智慧化运营转型。</w:t>
            </w:r>
          </w:p>
          <w:p w14:paraId="4C863B85">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42B1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1C55055E">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B07</w:t>
            </w:r>
          </w:p>
        </w:tc>
        <w:tc>
          <w:tcPr>
            <w:tcW w:w="1985" w:type="dxa"/>
            <w:shd w:val="clear" w:color="auto" w:fill="auto"/>
            <w:vAlign w:val="center"/>
          </w:tcPr>
          <w:p w14:paraId="30A601B5">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智慧污水厂管理系统</w:t>
            </w:r>
          </w:p>
        </w:tc>
        <w:tc>
          <w:tcPr>
            <w:tcW w:w="6095" w:type="dxa"/>
            <w:shd w:val="clear" w:color="auto" w:fill="auto"/>
            <w:vAlign w:val="center"/>
          </w:tcPr>
          <w:p w14:paraId="69FEE740">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集成物联网与人工智能技术，打造覆盖污水处理全流程的智能化管理平台，通过远程监控、数据分析与数字孪生可视化，实现工艺优化与成本控制，提升出水水质稳定性，助力污水厂高效低碳运营。</w:t>
            </w:r>
          </w:p>
          <w:p w14:paraId="5B9FB78D">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58DA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014D2922">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B08</w:t>
            </w:r>
          </w:p>
        </w:tc>
        <w:tc>
          <w:tcPr>
            <w:tcW w:w="1985" w:type="dxa"/>
            <w:shd w:val="clear" w:color="auto" w:fill="auto"/>
            <w:vAlign w:val="center"/>
          </w:tcPr>
          <w:p w14:paraId="27E9C69C">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应急指挥平台</w:t>
            </w:r>
          </w:p>
        </w:tc>
        <w:tc>
          <w:tcPr>
            <w:tcW w:w="6095" w:type="dxa"/>
            <w:shd w:val="clear" w:color="auto" w:fill="auto"/>
            <w:vAlign w:val="center"/>
          </w:tcPr>
          <w:p w14:paraId="32B5F9CB">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平台整合人员、车辆、物资等应急资源，构建数字化指挥中枢，通过融合通讯与预案管理实现事件快速响应，结合历史案例回溯与演练功能，全面提升水务突发事件处置效率与协同决策水平。</w:t>
            </w:r>
          </w:p>
          <w:p w14:paraId="1B4D5F7C">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4442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57B02FFF">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B09</w:t>
            </w:r>
          </w:p>
        </w:tc>
        <w:tc>
          <w:tcPr>
            <w:tcW w:w="1985" w:type="dxa"/>
            <w:shd w:val="clear" w:color="auto" w:fill="auto"/>
            <w:vAlign w:val="center"/>
          </w:tcPr>
          <w:p w14:paraId="6BE75EA1">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计漏管理系统</w:t>
            </w:r>
          </w:p>
        </w:tc>
        <w:tc>
          <w:tcPr>
            <w:tcW w:w="6095" w:type="dxa"/>
            <w:shd w:val="clear" w:color="auto" w:fill="auto"/>
            <w:vAlign w:val="center"/>
          </w:tcPr>
          <w:p w14:paraId="2EB29A99">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采用DMA分区计量与物联网感知技术，实时监测管网流量压力变化，通过产销差分析与漏损定位模型，精准识别漏损区域，降低水资源损失率，为管网改造与水量调度提供数据支撑。</w:t>
            </w:r>
          </w:p>
          <w:p w14:paraId="3FE0177F">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00EB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auto"/>
            <w:vAlign w:val="center"/>
          </w:tcPr>
          <w:p w14:paraId="4D9A85CE">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B10</w:t>
            </w:r>
          </w:p>
        </w:tc>
        <w:tc>
          <w:tcPr>
            <w:tcW w:w="1985" w:type="dxa"/>
            <w:shd w:val="clear" w:color="auto" w:fill="auto"/>
            <w:vAlign w:val="center"/>
          </w:tcPr>
          <w:p w14:paraId="7CA27B78">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水务AI应用</w:t>
            </w:r>
          </w:p>
        </w:tc>
        <w:tc>
          <w:tcPr>
            <w:tcW w:w="6095" w:type="dxa"/>
            <w:shd w:val="clear" w:color="auto" w:fill="auto"/>
            <w:vAlign w:val="center"/>
          </w:tcPr>
          <w:p w14:paraId="7007F4F8">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深度融合大模型技术与水务专业知识，构建“数据驱动+知识赋能”双引擎架构。平台涵盖智能写作、制度解析、智能数据、行业智库、智慧水厂中枢五大核心模块，实现从知识生产到决策优化的闭环管理。通过千万级水务语料训练与百万节点知识图谱，提供覆盖技术报告生成、合规审查、运营优化等业务场景的AI应用。</w:t>
            </w:r>
          </w:p>
          <w:p w14:paraId="74021702">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511B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7D69B1BD">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B11</w:t>
            </w:r>
          </w:p>
        </w:tc>
        <w:tc>
          <w:tcPr>
            <w:tcW w:w="1985" w:type="dxa"/>
            <w:shd w:val="clear" w:color="auto" w:fill="auto"/>
            <w:vAlign w:val="center"/>
          </w:tcPr>
          <w:p w14:paraId="23840875">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医教研数据湖仓管理平台</w:t>
            </w:r>
          </w:p>
        </w:tc>
        <w:tc>
          <w:tcPr>
            <w:tcW w:w="6095" w:type="dxa"/>
            <w:shd w:val="clear" w:color="auto" w:fill="auto"/>
            <w:vAlign w:val="center"/>
          </w:tcPr>
          <w:p w14:paraId="7B0FAE39">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该平台采用数据湖仓架构，为医疗和教育研究领域提供高效的数据存储、处理和分析能力。通过整合多源异构数据（如电子健康记录、医疗影像、基因组数据、教育课程数据和科研文献），平台支持医疗诊断、个性化治疗、教育资源优化和跨学科研究。研究人员可利用机器学习和分析工具挖掘数据洞察，助力医疗机构实现精准医疗决策，提升教育机构课程开发和学习效果评估效率。平台支持实时数据处理和AI应用，优化患者护理、教学管理和科研创新，同时利用低成本云存储和高效数据提取技术，降低管理成本，确保数据及时性和准确性。</w:t>
            </w:r>
          </w:p>
          <w:p w14:paraId="2A90FB86">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07CF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358464D6">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B12</w:t>
            </w:r>
          </w:p>
        </w:tc>
        <w:tc>
          <w:tcPr>
            <w:tcW w:w="1985" w:type="dxa"/>
            <w:shd w:val="clear" w:color="auto" w:fill="auto"/>
            <w:vAlign w:val="center"/>
          </w:tcPr>
          <w:p w14:paraId="69E40DFB">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电子病历智能生成系统</w:t>
            </w:r>
          </w:p>
        </w:tc>
        <w:tc>
          <w:tcPr>
            <w:tcW w:w="6095" w:type="dxa"/>
            <w:shd w:val="clear" w:color="auto" w:fill="auto"/>
            <w:vAlign w:val="center"/>
          </w:tcPr>
          <w:p w14:paraId="455E6BDD">
            <w:pPr>
              <w:widowControl/>
              <w:spacing w:line="300" w:lineRule="exact"/>
              <w:ind w:firstLine="400" w:firstLineChars="200"/>
              <w:jc w:val="left"/>
              <w:rPr>
                <w:rFonts w:ascii="宋体" w:hAnsi="宋体" w:eastAsia="宋体" w:cstheme="minorEastAsia"/>
                <w:sz w:val="20"/>
                <w:szCs w:val="20"/>
              </w:rPr>
            </w:pPr>
            <w:r>
              <w:rPr>
                <w:rFonts w:hint="eastAsia" w:ascii="宋体" w:hAnsi="宋体" w:eastAsia="宋体" w:cstheme="minorEastAsia"/>
                <w:sz w:val="20"/>
                <w:szCs w:val="20"/>
                <w:lang w:bidi="ar"/>
              </w:rPr>
              <w:t>端到端电子病历智能生成系统是一种基于人工智能的新型医疗信息化工具，可通过语音识别、大模型等技术自动分析医患语音对话并生成结构化电子病历，在医院门诊和查房场景中具有广泛应用价值</w:t>
            </w:r>
          </w:p>
          <w:p w14:paraId="45047E21">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5BD8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16C3D2D5">
            <w:pPr>
              <w:spacing w:line="300" w:lineRule="exact"/>
              <w:jc w:val="center"/>
              <w:rPr>
                <w:rFonts w:ascii="宋体" w:hAnsi="宋体" w:eastAsia="宋体" w:cstheme="minorEastAsia"/>
                <w:sz w:val="20"/>
                <w:szCs w:val="20"/>
              </w:rPr>
            </w:pPr>
            <w:r>
              <w:rPr>
                <w:rFonts w:hint="eastAsia" w:ascii="宋体" w:hAnsi="宋体" w:eastAsia="宋体" w:cstheme="minorEastAsia"/>
                <w:sz w:val="20"/>
                <w:szCs w:val="20"/>
              </w:rPr>
              <w:t>B13</w:t>
            </w:r>
          </w:p>
        </w:tc>
        <w:tc>
          <w:tcPr>
            <w:tcW w:w="1985" w:type="dxa"/>
            <w:shd w:val="clear" w:color="auto" w:fill="auto"/>
            <w:vAlign w:val="center"/>
          </w:tcPr>
          <w:p w14:paraId="341CE2A0">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医教研智能知识服务平台</w:t>
            </w:r>
          </w:p>
        </w:tc>
        <w:tc>
          <w:tcPr>
            <w:tcW w:w="6095" w:type="dxa"/>
            <w:shd w:val="clear" w:color="auto" w:fill="auto"/>
            <w:vAlign w:val="center"/>
          </w:tcPr>
          <w:p w14:paraId="2CECA20A">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聚焦医学教育、科研与临床场景，依托人工智能、知识图谱、多模态交互等前沿技术，构建“数据-服务-应用”一体化生态，打通医教研数据壁垒，以智能技术驱动医学人才培养、科研创新与临床诊疗协同发展，为医学领域全流程工作提供精准、高效知识服务。</w:t>
            </w:r>
          </w:p>
          <w:p w14:paraId="07790EAA">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提供本地化部署和技术培训支持。</w:t>
            </w:r>
          </w:p>
        </w:tc>
      </w:tr>
    </w:tbl>
    <w:p w14:paraId="42439377">
      <w:pPr>
        <w:snapToGrid w:val="0"/>
        <w:rPr>
          <w:rFonts w:eastAsia="PMingLiU" w:asciiTheme="minorEastAsia" w:hAnsiTheme="minorEastAsia" w:cstheme="minorEastAsia"/>
          <w:sz w:val="24"/>
          <w:szCs w:val="24"/>
          <w:lang w:val="zh-TW" w:eastAsia="zh-TW"/>
        </w:rPr>
      </w:pPr>
    </w:p>
    <w:p w14:paraId="02B9911C">
      <w:pPr>
        <w:snapToGrid w:val="0"/>
        <w:rPr>
          <w:rFonts w:eastAsia="PMingLiU" w:asciiTheme="minorEastAsia" w:hAnsiTheme="minorEastAsia" w:cstheme="minorEastAsia"/>
          <w:sz w:val="24"/>
          <w:szCs w:val="24"/>
          <w:lang w:val="zh-TW" w:eastAsia="zh-TW"/>
        </w:rPr>
      </w:pPr>
    </w:p>
    <w:p w14:paraId="19F3F217">
      <w:pPr>
        <w:snapToGrid w:val="0"/>
        <w:rPr>
          <w:rFonts w:hint="eastAsia" w:eastAsia="PMingLiU" w:asciiTheme="minorEastAsia" w:hAnsiTheme="minorEastAsia" w:cstheme="minorEastAsia"/>
          <w:sz w:val="24"/>
          <w:szCs w:val="24"/>
          <w:lang w:val="zh-TW" w:eastAsia="zh-TW"/>
        </w:rPr>
      </w:pPr>
    </w:p>
    <w:p w14:paraId="286B7AA1">
      <w:pPr>
        <w:snapToGrid w:val="0"/>
        <w:ind w:firstLine="560" w:firstLineChars="200"/>
        <w:rPr>
          <w:rFonts w:ascii="微软雅黑" w:hAnsi="微软雅黑" w:eastAsia="微软雅黑" w:cstheme="minorEastAsia"/>
          <w:b/>
          <w:bCs/>
          <w:iCs/>
          <w:kern w:val="0"/>
          <w:sz w:val="28"/>
        </w:rPr>
      </w:pPr>
      <w:r>
        <w:rPr>
          <w:rFonts w:hint="eastAsia" w:ascii="微软雅黑" w:hAnsi="微软雅黑" w:eastAsia="微软雅黑" w:cstheme="minorEastAsia"/>
          <w:b/>
          <w:bCs/>
          <w:iCs/>
          <w:kern w:val="0"/>
          <w:sz w:val="28"/>
        </w:rPr>
        <w:t>四、课题申报说明</w:t>
      </w:r>
    </w:p>
    <w:p w14:paraId="4106BB25">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1. 申请人须仔细阅读申请指南，按照指南详细填写申请书，填写不合要求的课题会按照格式不符合要求处理。</w:t>
      </w:r>
    </w:p>
    <w:p w14:paraId="57A316DE">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2. 请各课题申请人按要求填写申请书（申请书中手机和邮箱必须填写），加盖公章及签字后扫描上传至：</w:t>
      </w:r>
      <w:r>
        <w:rPr>
          <w:rFonts w:hint="eastAsia" w:asciiTheme="minorEastAsia" w:hAnsiTheme="minorEastAsia" w:eastAsiaTheme="minorEastAsia" w:cstheme="minorEastAsia"/>
          <w:b/>
          <w:iCs/>
          <w:kern w:val="0"/>
          <w:sz w:val="24"/>
          <w:szCs w:val="24"/>
        </w:rPr>
        <w:t>https://cxjj.cutech.edu.cn</w:t>
      </w:r>
      <w:r>
        <w:rPr>
          <w:rFonts w:hint="eastAsia" w:asciiTheme="minorEastAsia" w:hAnsiTheme="minorEastAsia" w:eastAsiaTheme="minorEastAsia" w:cstheme="minorEastAsia"/>
          <w:iCs/>
          <w:kern w:val="0"/>
          <w:sz w:val="24"/>
          <w:szCs w:val="24"/>
        </w:rPr>
        <w:t>；为方便评审，申请书扫描件请按以下命名规则命名：学校名称+申请人姓名。</w:t>
      </w:r>
    </w:p>
    <w:p w14:paraId="00D1CC75">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宋体" w:hAnsi="宋体" w:eastAsia="宋体" w:cs="Times New Roman"/>
          <w:iCs/>
          <w:color w:val="000000" w:themeColor="text1"/>
          <w:kern w:val="0"/>
          <w:sz w:val="24"/>
          <w:szCs w:val="24"/>
          <w14:textFill>
            <w14:solidFill>
              <w14:schemeClr w14:val="tx1"/>
            </w14:solidFill>
          </w14:textFill>
        </w:rPr>
        <w:t>3</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申请书书面材料一份，邮寄至：北京市海淀区中关村大街35号80</w:t>
      </w:r>
      <w:r>
        <w:rPr>
          <w:rFonts w:ascii="宋体" w:hAnsi="宋体" w:eastAsia="宋体" w:cs="Times New Roman"/>
          <w:iCs/>
          <w:color w:val="000000" w:themeColor="text1"/>
          <w:kern w:val="0"/>
          <w:sz w:val="24"/>
          <w:szCs w:val="24"/>
          <w14:textFill>
            <w14:solidFill>
              <w14:schemeClr w14:val="tx1"/>
            </w14:solidFill>
          </w14:textFill>
        </w:rPr>
        <w:t>3</w:t>
      </w:r>
      <w:r>
        <w:rPr>
          <w:rFonts w:hint="eastAsia" w:ascii="宋体" w:hAnsi="宋体" w:eastAsia="宋体" w:cs="Times New Roman"/>
          <w:iCs/>
          <w:color w:val="000000" w:themeColor="text1"/>
          <w:kern w:val="0"/>
          <w:sz w:val="24"/>
          <w:szCs w:val="24"/>
          <w14:textFill>
            <w14:solidFill>
              <w14:schemeClr w14:val="tx1"/>
            </w14:solidFill>
          </w14:textFill>
        </w:rPr>
        <w:t>室，教育部高等学校科学研究发展中心信息化研究发展处。</w:t>
      </w:r>
    </w:p>
    <w:p w14:paraId="07620343">
      <w:pPr>
        <w:widowControl/>
        <w:snapToGrid w:val="0"/>
        <w:spacing w:line="480" w:lineRule="exact"/>
        <w:ind w:firstLine="480" w:firstLineChars="200"/>
        <w:contextualSpacing/>
        <w:outlineLvl w:val="1"/>
        <w:rPr>
          <w:rFonts w:asciiTheme="minorEastAsia" w:hAnsiTheme="minorEastAsia" w:eastAsiaTheme="minorEastAsia" w:cstheme="minorEastAsia"/>
          <w:iCs/>
          <w:color w:val="000000" w:themeColor="text1"/>
          <w:kern w:val="0"/>
          <w:sz w:val="24"/>
          <w:szCs w:val="24"/>
          <w14:textFill>
            <w14:solidFill>
              <w14:schemeClr w14:val="tx1"/>
            </w14:solidFill>
          </w14:textFill>
        </w:rPr>
      </w:pPr>
      <w:r>
        <w:rPr>
          <w:rFonts w:asciiTheme="minorEastAsia" w:hAnsiTheme="minorEastAsia" w:eastAsiaTheme="minorEastAsia" w:cstheme="minorEastAsia"/>
          <w:iCs/>
          <w:kern w:val="0"/>
          <w:sz w:val="24"/>
          <w:szCs w:val="24"/>
        </w:rPr>
        <w:t>4</w:t>
      </w:r>
      <w:r>
        <w:rPr>
          <w:rFonts w:hint="eastAsia" w:asciiTheme="minorEastAsia" w:hAnsiTheme="minorEastAsia" w:eastAsiaTheme="minorEastAsia" w:cstheme="minorEastAsia"/>
          <w:iCs/>
          <w:kern w:val="0"/>
          <w:sz w:val="24"/>
          <w:szCs w:val="24"/>
        </w:rPr>
        <w:t>. 申请截止时间为</w:t>
      </w:r>
      <w:r>
        <w:rPr>
          <w:rFonts w:hint="eastAsia" w:asciiTheme="minorEastAsia" w:hAnsiTheme="minorEastAsia" w:eastAsiaTheme="minorEastAsia" w:cstheme="minorEastAsia"/>
          <w:iCs/>
          <w:color w:val="000000" w:themeColor="text1"/>
          <w:kern w:val="0"/>
          <w:sz w:val="24"/>
          <w:szCs w:val="24"/>
          <w14:textFill>
            <w14:solidFill>
              <w14:schemeClr w14:val="tx1"/>
            </w14:solidFill>
          </w14:textFill>
        </w:rPr>
        <w:t>2025年12月25日。</w:t>
      </w:r>
    </w:p>
    <w:p w14:paraId="135930A6">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color w:val="000000" w:themeColor="text1"/>
          <w:kern w:val="0"/>
          <w:sz w:val="24"/>
          <w:szCs w:val="24"/>
          <w14:textFill>
            <w14:solidFill>
              <w14:schemeClr w14:val="tx1"/>
            </w14:solidFill>
          </w14:textFill>
        </w:rPr>
        <w:t>5</w:t>
      </w:r>
      <w:r>
        <w:rPr>
          <w:rFonts w:hint="eastAsia" w:asciiTheme="minorEastAsia" w:hAnsiTheme="minorEastAsia" w:eastAsiaTheme="minorEastAsia" w:cstheme="minorEastAsia"/>
          <w:iCs/>
          <w:color w:val="000000" w:themeColor="text1"/>
          <w:kern w:val="0"/>
          <w:sz w:val="24"/>
          <w:szCs w:val="24"/>
          <w14:textFill>
            <w14:solidFill>
              <w14:schemeClr w14:val="tx1"/>
            </w14:solidFill>
          </w14:textFill>
        </w:rPr>
        <w:t>. 课题的计划执行时间为</w:t>
      </w:r>
      <w:r>
        <w:rPr>
          <w:rFonts w:hint="eastAsia" w:asciiTheme="minorEastAsia" w:hAnsiTheme="minorEastAsia" w:eastAsiaTheme="minorEastAsia" w:cstheme="minorEastAsia"/>
          <w:color w:val="000000" w:themeColor="text1"/>
          <w:sz w:val="24"/>
          <w:szCs w:val="24"/>
          <w14:textFill>
            <w14:solidFill>
              <w14:schemeClr w14:val="tx1"/>
            </w14:solidFill>
          </w14:textFill>
        </w:rPr>
        <w:t>2026年4月1日～2027年3月31日</w:t>
      </w:r>
      <w:r>
        <w:rPr>
          <w:rFonts w:hint="eastAsia" w:asciiTheme="minorEastAsia" w:hAnsiTheme="minorEastAsia" w:eastAsiaTheme="minorEastAsia" w:cstheme="minorEastAsia"/>
          <w:iCs/>
          <w:color w:val="000000" w:themeColor="text1"/>
          <w:kern w:val="0"/>
          <w:sz w:val="24"/>
          <w:szCs w:val="24"/>
          <w14:textFill>
            <w14:solidFill>
              <w14:schemeClr w14:val="tx1"/>
            </w14:solidFill>
          </w14:textFill>
        </w:rPr>
        <w:t>，可根据课题复杂程度适度延长执行周期，根据课题实际情况协商，</w:t>
      </w:r>
      <w:r>
        <w:rPr>
          <w:rFonts w:hint="eastAsia" w:asciiTheme="minorEastAsia" w:hAnsiTheme="minorEastAsia" w:eastAsiaTheme="minorEastAsia" w:cstheme="minorEastAsia"/>
          <w:color w:val="000000" w:themeColor="text1"/>
          <w:sz w:val="24"/>
          <w:szCs w:val="24"/>
          <w14:textFill>
            <w14:solidFill>
              <w14:schemeClr w14:val="tx1"/>
            </w14:solidFill>
          </w14:textFill>
        </w:rPr>
        <w:t>最长不超过两年</w:t>
      </w:r>
      <w:r>
        <w:rPr>
          <w:rFonts w:hint="eastAsia" w:asciiTheme="minorEastAsia" w:hAnsiTheme="minorEastAsia" w:eastAsiaTheme="minorEastAsia" w:cstheme="minorEastAsia"/>
          <w:iCs/>
          <w:kern w:val="0"/>
          <w:sz w:val="24"/>
          <w:szCs w:val="24"/>
        </w:rPr>
        <w:t>。</w:t>
      </w:r>
    </w:p>
    <w:p w14:paraId="1796F2F9">
      <w:pPr>
        <w:widowControl/>
        <w:snapToGrid w:val="0"/>
        <w:spacing w:line="480" w:lineRule="exact"/>
        <w:ind w:firstLine="480" w:firstLineChars="200"/>
        <w:contextualSpacing/>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iCs/>
          <w:kern w:val="0"/>
          <w:sz w:val="24"/>
          <w:szCs w:val="24"/>
        </w:rPr>
        <w:t>6</w:t>
      </w:r>
      <w:r>
        <w:rPr>
          <w:rFonts w:hint="eastAsia" w:asciiTheme="minorEastAsia" w:hAnsiTheme="minorEastAsia" w:eastAsiaTheme="minorEastAsia" w:cstheme="minorEastAsia"/>
          <w:iCs/>
          <w:kern w:val="0"/>
          <w:sz w:val="24"/>
          <w:szCs w:val="24"/>
        </w:rPr>
        <w:t>.</w:t>
      </w:r>
      <w:r>
        <w:rPr>
          <w:rFonts w:hint="eastAsia" w:asciiTheme="minorEastAsia" w:hAnsiTheme="minorEastAsia" w:eastAsiaTheme="minorEastAsia" w:cstheme="minorEastAsia"/>
          <w:sz w:val="24"/>
          <w:szCs w:val="24"/>
        </w:rPr>
        <w:t xml:space="preserve"> 每位申报人限报一项课题。</w:t>
      </w:r>
    </w:p>
    <w:p w14:paraId="430E63D5">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2CB02390">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kern w:val="0"/>
          <w:sz w:val="24"/>
          <w:szCs w:val="24"/>
        </w:rPr>
        <w:t>8</w:t>
      </w:r>
      <w:r>
        <w:rPr>
          <w:rFonts w:hint="eastAsia" w:asciiTheme="minorEastAsia" w:hAnsiTheme="minorEastAsia" w:eastAsiaTheme="minorEastAsia" w:cstheme="minorEastAsia"/>
          <w:iCs/>
          <w:kern w:val="0"/>
          <w:sz w:val="24"/>
          <w:szCs w:val="24"/>
        </w:rPr>
        <w:t>. 如果以联合课题组的形式申请课题，需要列明不同学校单位的课题任务。</w:t>
      </w:r>
    </w:p>
    <w:p w14:paraId="23FAB228">
      <w:pPr>
        <w:widowControl/>
        <w:snapToGrid w:val="0"/>
        <w:spacing w:line="480" w:lineRule="exact"/>
        <w:ind w:firstLine="480" w:firstLineChars="200"/>
        <w:contextualSpacing/>
        <w:outlineLvl w:val="1"/>
        <w:rPr>
          <w:rFonts w:asciiTheme="minorEastAsia" w:hAnsiTheme="minorEastAsia" w:eastAsiaTheme="minorEastAsia" w:cstheme="minorEastAsia"/>
          <w:bCs/>
          <w:iCs/>
          <w:kern w:val="0"/>
          <w:sz w:val="28"/>
        </w:rPr>
      </w:pPr>
      <w:r>
        <w:rPr>
          <w:rFonts w:asciiTheme="minorEastAsia" w:hAnsiTheme="minorEastAsia" w:eastAsiaTheme="minorEastAsia" w:cstheme="minorEastAsia"/>
          <w:bCs/>
          <w:iCs/>
          <w:kern w:val="0"/>
          <w:sz w:val="24"/>
          <w:szCs w:val="24"/>
        </w:rPr>
        <w:t>9</w:t>
      </w:r>
      <w:r>
        <w:rPr>
          <w:rFonts w:hint="eastAsia" w:asciiTheme="minorEastAsia" w:hAnsiTheme="minorEastAsia" w:eastAsiaTheme="minorEastAsia" w:cstheme="minorEastAsia"/>
          <w:bCs/>
          <w:iCs/>
          <w:kern w:val="0"/>
          <w:sz w:val="24"/>
          <w:szCs w:val="24"/>
        </w:rPr>
        <w:t xml:space="preserve">. </w:t>
      </w:r>
      <w:r>
        <w:rPr>
          <w:rFonts w:hint="eastAsia" w:asciiTheme="minorEastAsia" w:hAnsiTheme="minorEastAsia" w:eastAsiaTheme="minorEastAsia" w:cstheme="minorEastAsia"/>
          <w:b/>
          <w:bCs/>
          <w:iCs/>
          <w:kern w:val="0"/>
          <w:sz w:val="24"/>
          <w:szCs w:val="24"/>
        </w:rPr>
        <w:t>课题申请人无需向资助企业额外购买配套设备或软件。</w:t>
      </w:r>
    </w:p>
    <w:p w14:paraId="4339EF15">
      <w:pPr>
        <w:snapToGrid w:val="0"/>
        <w:spacing w:line="440" w:lineRule="exact"/>
        <w:ind w:firstLine="420" w:firstLineChars="200"/>
        <w:contextualSpacing/>
        <w:rPr>
          <w:rFonts w:asciiTheme="minorEastAsia" w:hAnsiTheme="minorEastAsia" w:eastAsiaTheme="minorEastAsia" w:cstheme="minorEastAsia"/>
          <w:szCs w:val="24"/>
        </w:rPr>
      </w:pPr>
    </w:p>
    <w:p w14:paraId="1D5588D5">
      <w:pPr>
        <w:widowControl/>
        <w:spacing w:line="480" w:lineRule="exact"/>
        <w:ind w:firstLine="560" w:firstLineChars="200"/>
        <w:contextualSpacing/>
        <w:jc w:val="left"/>
        <w:outlineLvl w:val="1"/>
        <w:rPr>
          <w:rFonts w:ascii="微软雅黑" w:hAnsi="微软雅黑" w:eastAsia="微软雅黑" w:cstheme="minorEastAsia"/>
          <w:b/>
          <w:bCs/>
          <w:iCs/>
          <w:kern w:val="0"/>
          <w:sz w:val="28"/>
        </w:rPr>
      </w:pPr>
      <w:r>
        <w:rPr>
          <w:rFonts w:hint="eastAsia" w:ascii="微软雅黑" w:hAnsi="微软雅黑" w:eastAsia="微软雅黑" w:cstheme="minorEastAsia"/>
          <w:b/>
          <w:bCs/>
          <w:iCs/>
          <w:kern w:val="0"/>
          <w:sz w:val="28"/>
        </w:rPr>
        <w:t>五、联系人及联系方式</w:t>
      </w:r>
    </w:p>
    <w:p w14:paraId="358217DE">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教育部高等学校科学研究发展中心</w:t>
      </w:r>
      <w:r>
        <w:rPr>
          <w:rFonts w:hint="eastAsia" w:asciiTheme="minorEastAsia" w:hAnsiTheme="minorEastAsia" w:eastAsiaTheme="minorEastAsia" w:cstheme="minorEastAsia"/>
          <w:iCs/>
          <w:sz w:val="24"/>
          <w:szCs w:val="32"/>
        </w:rPr>
        <w:t>联系人：</w:t>
      </w:r>
    </w:p>
    <w:p w14:paraId="56530C92">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 xml:space="preserve">张  杰 </w:t>
      </w:r>
      <w:r>
        <w:rPr>
          <w:rFonts w:asciiTheme="minorEastAsia" w:hAnsiTheme="minorEastAsia" w:eastAsiaTheme="minorEastAsia" w:cstheme="minorEastAsia"/>
          <w:iCs/>
          <w:sz w:val="24"/>
          <w:szCs w:val="32"/>
        </w:rPr>
        <w:t xml:space="preserve">  </w:t>
      </w:r>
      <w:r>
        <w:rPr>
          <w:rFonts w:hint="eastAsia" w:asciiTheme="minorEastAsia" w:hAnsiTheme="minorEastAsia" w:eastAsiaTheme="minorEastAsia" w:cstheme="minorEastAsia"/>
          <w:iCs/>
          <w:sz w:val="24"/>
          <w:szCs w:val="32"/>
        </w:rPr>
        <w:t>电话：010-62514689</w:t>
      </w:r>
    </w:p>
    <w:p w14:paraId="5B6E670F">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企业联系人：</w:t>
      </w:r>
    </w:p>
    <w:p w14:paraId="12002415">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业务支持：</w:t>
      </w:r>
    </w:p>
    <w:p w14:paraId="4865D0C3">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 xml:space="preserve">戴老师 </w:t>
      </w:r>
      <w:r>
        <w:rPr>
          <w:rFonts w:asciiTheme="minorEastAsia" w:hAnsiTheme="minorEastAsia" w:eastAsiaTheme="minorEastAsia" w:cstheme="minorEastAsia"/>
          <w:iCs/>
          <w:sz w:val="24"/>
          <w:szCs w:val="32"/>
        </w:rPr>
        <w:t xml:space="preserve">  </w:t>
      </w:r>
      <w:r>
        <w:rPr>
          <w:rFonts w:hint="eastAsia" w:asciiTheme="minorEastAsia" w:hAnsiTheme="minorEastAsia" w:eastAsiaTheme="minorEastAsia" w:cstheme="minorEastAsia"/>
          <w:iCs/>
          <w:sz w:val="24"/>
          <w:szCs w:val="32"/>
        </w:rPr>
        <w:t>电话：15712899981</w:t>
      </w:r>
    </w:p>
    <w:p w14:paraId="7D643643">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 xml:space="preserve">张老师 </w:t>
      </w:r>
      <w:r>
        <w:rPr>
          <w:rFonts w:asciiTheme="minorEastAsia" w:hAnsiTheme="minorEastAsia" w:eastAsiaTheme="minorEastAsia" w:cstheme="minorEastAsia"/>
          <w:iCs/>
          <w:sz w:val="24"/>
          <w:szCs w:val="32"/>
        </w:rPr>
        <w:t xml:space="preserve">  </w:t>
      </w:r>
      <w:r>
        <w:rPr>
          <w:rFonts w:hint="eastAsia" w:asciiTheme="minorEastAsia" w:hAnsiTheme="minorEastAsia" w:eastAsiaTheme="minorEastAsia" w:cstheme="minorEastAsia"/>
          <w:iCs/>
          <w:sz w:val="24"/>
          <w:szCs w:val="32"/>
        </w:rPr>
        <w:t>电话：18967190732</w:t>
      </w:r>
    </w:p>
    <w:p w14:paraId="3BE971C2">
      <w:pPr>
        <w:spacing w:line="46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技术支持：</w:t>
      </w:r>
    </w:p>
    <w:p w14:paraId="4F56EA90">
      <w:pPr>
        <w:spacing w:line="460" w:lineRule="exact"/>
        <w:ind w:firstLine="480" w:firstLineChars="200"/>
        <w:rPr>
          <w:rFonts w:hint="eastAsia"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 xml:space="preserve">侯老师 </w:t>
      </w:r>
      <w:r>
        <w:rPr>
          <w:rFonts w:asciiTheme="minorEastAsia" w:hAnsiTheme="minorEastAsia" w:eastAsiaTheme="minorEastAsia" w:cstheme="minorEastAsia"/>
          <w:iCs/>
          <w:sz w:val="24"/>
          <w:szCs w:val="32"/>
        </w:rPr>
        <w:t xml:space="preserve">  </w:t>
      </w:r>
      <w:r>
        <w:rPr>
          <w:rFonts w:hint="eastAsia" w:asciiTheme="minorEastAsia" w:hAnsiTheme="minorEastAsia" w:eastAsiaTheme="minorEastAsia" w:cstheme="minorEastAsia"/>
          <w:iCs/>
          <w:sz w:val="24"/>
          <w:szCs w:val="32"/>
        </w:rPr>
        <w:t>电话：15670863521</w:t>
      </w:r>
    </w:p>
    <w:sectPr>
      <w:pgSz w:w="11906" w:h="16838"/>
      <w:pgMar w:top="1361" w:right="1644" w:bottom="1361"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B57C68"/>
    <w:rsid w:val="00037EE5"/>
    <w:rsid w:val="004A1382"/>
    <w:rsid w:val="00567CF4"/>
    <w:rsid w:val="00567DEF"/>
    <w:rsid w:val="0057097B"/>
    <w:rsid w:val="00715555"/>
    <w:rsid w:val="00C23BC0"/>
    <w:rsid w:val="00C60090"/>
    <w:rsid w:val="00E04D9A"/>
    <w:rsid w:val="15FD5AFB"/>
    <w:rsid w:val="17B73D01"/>
    <w:rsid w:val="1BD281F1"/>
    <w:rsid w:val="1FAD6C9E"/>
    <w:rsid w:val="1FDFE90C"/>
    <w:rsid w:val="2BFEB9BD"/>
    <w:rsid w:val="2C3A0E8C"/>
    <w:rsid w:val="2F1F22E9"/>
    <w:rsid w:val="2F6B246C"/>
    <w:rsid w:val="33696201"/>
    <w:rsid w:val="36872B2B"/>
    <w:rsid w:val="37FCB0B4"/>
    <w:rsid w:val="3D6759CB"/>
    <w:rsid w:val="3EFF69EC"/>
    <w:rsid w:val="3F1B56F1"/>
    <w:rsid w:val="3F2FBEC0"/>
    <w:rsid w:val="47BBB948"/>
    <w:rsid w:val="4DFF7816"/>
    <w:rsid w:val="4FCE32EF"/>
    <w:rsid w:val="53459B80"/>
    <w:rsid w:val="57ED8A01"/>
    <w:rsid w:val="5D971969"/>
    <w:rsid w:val="5DF796EF"/>
    <w:rsid w:val="5EB5F74E"/>
    <w:rsid w:val="5F77C5F7"/>
    <w:rsid w:val="5F794396"/>
    <w:rsid w:val="5F9233D6"/>
    <w:rsid w:val="5FAAB59B"/>
    <w:rsid w:val="5FFF218A"/>
    <w:rsid w:val="5FFF7722"/>
    <w:rsid w:val="62EE155E"/>
    <w:rsid w:val="67DBC4BC"/>
    <w:rsid w:val="67E30C00"/>
    <w:rsid w:val="67FC1E1A"/>
    <w:rsid w:val="6FFB1F81"/>
    <w:rsid w:val="6FFE6613"/>
    <w:rsid w:val="7043B082"/>
    <w:rsid w:val="73C7733C"/>
    <w:rsid w:val="73D7AAB8"/>
    <w:rsid w:val="73EF9E17"/>
    <w:rsid w:val="75435BC9"/>
    <w:rsid w:val="75BF31B0"/>
    <w:rsid w:val="75CD27E4"/>
    <w:rsid w:val="75E70327"/>
    <w:rsid w:val="77AD4083"/>
    <w:rsid w:val="77CF98BC"/>
    <w:rsid w:val="77DE07CA"/>
    <w:rsid w:val="77DF8E32"/>
    <w:rsid w:val="797C7BAF"/>
    <w:rsid w:val="79FEED16"/>
    <w:rsid w:val="7AAE8960"/>
    <w:rsid w:val="7B7736C3"/>
    <w:rsid w:val="7B99522A"/>
    <w:rsid w:val="7BBE17E7"/>
    <w:rsid w:val="7DD78E2E"/>
    <w:rsid w:val="7DE7AD48"/>
    <w:rsid w:val="7DF1AF7E"/>
    <w:rsid w:val="7DFD2C2D"/>
    <w:rsid w:val="7DFDAEF5"/>
    <w:rsid w:val="7DFFFF94"/>
    <w:rsid w:val="7EDABFBA"/>
    <w:rsid w:val="7EF314AD"/>
    <w:rsid w:val="7EF8746C"/>
    <w:rsid w:val="7F7DAF5D"/>
    <w:rsid w:val="7F9E36CF"/>
    <w:rsid w:val="7FADE507"/>
    <w:rsid w:val="7FBBB1D2"/>
    <w:rsid w:val="7FCF4CBA"/>
    <w:rsid w:val="7FDF798A"/>
    <w:rsid w:val="7FEB7AA2"/>
    <w:rsid w:val="7FF9A1A0"/>
    <w:rsid w:val="7FFD9095"/>
    <w:rsid w:val="7FFF03B4"/>
    <w:rsid w:val="7FFF0569"/>
    <w:rsid w:val="94FFA2CA"/>
    <w:rsid w:val="9BBF0EE4"/>
    <w:rsid w:val="9E7EBF3E"/>
    <w:rsid w:val="9EFC131C"/>
    <w:rsid w:val="9FBF829F"/>
    <w:rsid w:val="9FF71249"/>
    <w:rsid w:val="A87F4F7D"/>
    <w:rsid w:val="A9FD83B8"/>
    <w:rsid w:val="ACA2B4B8"/>
    <w:rsid w:val="AF9F05AD"/>
    <w:rsid w:val="B6FEDB97"/>
    <w:rsid w:val="B7BB29FD"/>
    <w:rsid w:val="B7DF9026"/>
    <w:rsid w:val="BAB851AB"/>
    <w:rsid w:val="BB7E3875"/>
    <w:rsid w:val="BDFFC092"/>
    <w:rsid w:val="BEB57C68"/>
    <w:rsid w:val="BFBEB7D3"/>
    <w:rsid w:val="CDB20FAE"/>
    <w:rsid w:val="D6E75951"/>
    <w:rsid w:val="D9BD53BC"/>
    <w:rsid w:val="DBFE1330"/>
    <w:rsid w:val="DDBFCABB"/>
    <w:rsid w:val="DE7F2641"/>
    <w:rsid w:val="DFBD5A37"/>
    <w:rsid w:val="E3FA6DB2"/>
    <w:rsid w:val="E7B7435D"/>
    <w:rsid w:val="E87DC68D"/>
    <w:rsid w:val="EB75D50E"/>
    <w:rsid w:val="ECB57BF3"/>
    <w:rsid w:val="EDEEB331"/>
    <w:rsid w:val="EE6BCDA3"/>
    <w:rsid w:val="EEDB7D6A"/>
    <w:rsid w:val="EFBA9282"/>
    <w:rsid w:val="F177E205"/>
    <w:rsid w:val="F1FB969E"/>
    <w:rsid w:val="F33E6A0A"/>
    <w:rsid w:val="F4FD828C"/>
    <w:rsid w:val="F5619F27"/>
    <w:rsid w:val="F5DE6B62"/>
    <w:rsid w:val="F5EF3794"/>
    <w:rsid w:val="F5EFACE4"/>
    <w:rsid w:val="F7DD7AF6"/>
    <w:rsid w:val="FAE78DA3"/>
    <w:rsid w:val="FB7F6920"/>
    <w:rsid w:val="FB9F2CED"/>
    <w:rsid w:val="FBCE2958"/>
    <w:rsid w:val="FBFF15A8"/>
    <w:rsid w:val="FBFF8878"/>
    <w:rsid w:val="FC7695E9"/>
    <w:rsid w:val="FCCFD65E"/>
    <w:rsid w:val="FD7729D2"/>
    <w:rsid w:val="FDB45951"/>
    <w:rsid w:val="FDBF9117"/>
    <w:rsid w:val="FDFF05A2"/>
    <w:rsid w:val="FE3FCBFA"/>
    <w:rsid w:val="FE8738FF"/>
    <w:rsid w:val="FEFD38B3"/>
    <w:rsid w:val="FEFFCB99"/>
    <w:rsid w:val="FF63DC00"/>
    <w:rsid w:val="FFE8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9"/>
    <w:uiPriority w:val="0"/>
    <w:rPr>
      <w:sz w:val="18"/>
      <w:szCs w:val="18"/>
    </w:rPr>
  </w:style>
  <w:style w:type="paragraph" w:styleId="7">
    <w:name w:val="List Paragraph"/>
    <w:basedOn w:val="1"/>
    <w:qFormat/>
    <w:uiPriority w:val="34"/>
    <w:pPr>
      <w:ind w:firstLine="420" w:firstLineChars="200"/>
    </w:pPr>
  </w:style>
  <w:style w:type="paragraph" w:customStyle="1" w:styleId="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9">
    <w:name w:val="批注框文本 字符"/>
    <w:basedOn w:val="6"/>
    <w:link w:val="4"/>
    <w:uiPriority w:val="0"/>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7003</Words>
  <Characters>7271</Characters>
  <Lines>53</Lines>
  <Paragraphs>14</Paragraphs>
  <TotalTime>36</TotalTime>
  <ScaleCrop>false</ScaleCrop>
  <LinksUpToDate>false</LinksUpToDate>
  <CharactersWithSpaces>7306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2025-09-16T07:28:00Z</dcterms:created>
  <dc:creator>d</dc:creator>
  <cp:lastModifiedBy>木西子з</cp:lastModifiedBy>
  <dcterms:modified xsi:type="dcterms:W3CDTF">2025-10-20T02:28:22Z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A120B74E163E4FB3A2B7C91C3F1F5EA0_13</vt:lpwstr>
  </property>
</Properties>
</file>